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1f8a7546ee01f1f453dc67f3e20e766f374aaec"/>
    <w:p>
      <w:pPr>
        <w:pStyle w:val="Heading1"/>
      </w:pPr>
      <w:r>
        <w:t xml:space="preserve">Thesis Proposal: The Evolving Role of the Modern Banker in United Arab Emirates Abu Dhabi</w:t>
      </w:r>
    </w:p>
    <w:bookmarkStart w:id="20" w:name="introduction"/>
    <w:p>
      <w:pPr>
        <w:pStyle w:val="Heading2"/>
      </w:pPr>
      <w:r>
        <w:t xml:space="preserve">Introduction</w:t>
      </w:r>
    </w:p>
    <w:p>
      <w:pPr>
        <w:pStyle w:val="FirstParagraph"/>
      </w:pPr>
      <w:r>
        <w:t xml:space="preserve">The financial landscape of the United Arab Emirates (UAE), particularly within Abu Dhabi, stands at a pivotal juncture where traditional banking paradigms are rapidly transforming. As a global financial hub and the economic engine of the UAE, Abu Dhabi’s banking sector is experiencing unprecedented disruption driven by digital innovation, regulatory evolution, and shifting client expectations. This</w:t>
      </w:r>
      <w:r>
        <w:t xml:space="preserve"> </w:t>
      </w:r>
      <w:r>
        <w:rPr>
          <w:bCs/>
          <w:b/>
        </w:rPr>
        <w:t xml:space="preserve">Thesis Proposal</w:t>
      </w:r>
      <w:r>
        <w:t xml:space="preserve"> </w:t>
      </w:r>
      <w:r>
        <w:t xml:space="preserve">addresses a critical gap in contemporary financial research: the redefinition of the</w:t>
      </w:r>
      <w:r>
        <w:t xml:space="preserve"> </w:t>
      </w:r>
      <w:r>
        <w:rPr>
          <w:iCs/>
          <w:i/>
        </w:rPr>
        <w:t xml:space="preserve">Banker</w:t>
      </w:r>
      <w:r>
        <w:t xml:space="preserve">'s role within Abu Dhabi's unique socio-economic ecosystem. The United Arab Emirates Abu Dhabi banking sector is no longer confined to transactional services; it now serves as a strategic catalyst for national economic diversification, particularly under initiatives like Abu Dhabi Vision 2030 and the UAE Centennial 2071. This research will examine how the</w:t>
      </w:r>
      <w:r>
        <w:t xml:space="preserve"> </w:t>
      </w:r>
      <w:r>
        <w:rPr>
          <w:bCs/>
          <w:b/>
        </w:rPr>
        <w:t xml:space="preserve">Banker</w:t>
      </w:r>
      <w:r>
        <w:t xml:space="preserve"> </w:t>
      </w:r>
      <w:r>
        <w:t xml:space="preserve">in United Arab Emirates Abu Dhabi must adapt to become a multifaceted advisor, digital strategist, and cultural navigator in an increasingly complex financial environment.</w:t>
      </w:r>
    </w:p>
    <w:bookmarkEnd w:id="20"/>
    <w:bookmarkStart w:id="21" w:name="problem-statement"/>
    <w:p>
      <w:pPr>
        <w:pStyle w:val="Heading2"/>
      </w:pPr>
      <w:r>
        <w:t xml:space="preserve">Problem Statement</w:t>
      </w:r>
    </w:p>
    <w:p>
      <w:pPr>
        <w:pStyle w:val="FirstParagraph"/>
      </w:pPr>
      <w:r>
        <w:t xml:space="preserve">Despite Abu Dhabi’s status as a leading financial center in the Middle East—home to over 30 international banks and the Central Bank of the UAE—the professional identity of the</w:t>
      </w:r>
      <w:r>
        <w:t xml:space="preserve"> </w:t>
      </w:r>
      <w:r>
        <w:rPr>
          <w:bCs/>
          <w:b/>
        </w:rPr>
        <w:t xml:space="preserve">Banker</w:t>
      </w:r>
      <w:r>
        <w:t xml:space="preserve"> </w:t>
      </w:r>
      <w:r>
        <w:t xml:space="preserve">remains poorly understood in academic literature. Current research largely extrapolates European or North American banking models, neglecting Abu Dhabi’s distinct regulatory framework (e.g., Central Bank’s Financial Sector Development Plan), multicultural client base, and sovereign wealth-driven economic priorities. This disconnect risks producing a workforce unprepared for Abu Dhabi’s unique challenges: balancing Islamic finance principles with digital transformation, serving high-net-worth individuals from diverse global backgrounds, and aligning services with national strategic goals like the Abu Dhabi Economic Vision 2030. Without a tailored understanding of the modern</w:t>
      </w:r>
      <w:r>
        <w:t xml:space="preserve"> </w:t>
      </w:r>
      <w:r>
        <w:rPr>
          <w:bCs/>
          <w:b/>
        </w:rPr>
        <w:t xml:space="preserve">Banker</w:t>
      </w:r>
      <w:r>
        <w:t xml:space="preserve">'s evolving responsibilities, UAE institutions risk operational inefficiency and competitive disadvantage in the global financial arena.</w:t>
      </w:r>
    </w:p>
    <w:bookmarkEnd w:id="21"/>
    <w:bookmarkStart w:id="22" w:name="literature-review-synthesis"/>
    <w:p>
      <w:pPr>
        <w:pStyle w:val="Heading2"/>
      </w:pPr>
      <w:r>
        <w:t xml:space="preserve">Literature Review (Synthesis)</w:t>
      </w:r>
    </w:p>
    <w:p>
      <w:pPr>
        <w:pStyle w:val="FirstParagraph"/>
      </w:pPr>
      <w:r>
        <w:t xml:space="preserve">Existing scholarship on banking roles predominantly focuses on Western contexts (e.g., Bughin et al., 2019 on AI in banking) or broad MENA analyses (e.g., Al-Suwaidan, 2021). However, these studies lack Abu Dhabi-specific granularity. For instance:</w:t>
      </w:r>
      <w:r>
        <w:t xml:space="preserve"> </w:t>
      </w:r>
      <w:r>
        <w:t xml:space="preserve">- Regulatory frameworks like the UAE’s Anti-Money Laundering Law (Federal Decree-Law No. 20 of 2018) are rarely analyzed for their impact on</w:t>
      </w:r>
      <w:r>
        <w:t xml:space="preserve"> </w:t>
      </w:r>
      <w:r>
        <w:rPr>
          <w:bCs/>
          <w:b/>
        </w:rPr>
        <w:t xml:space="preserve">Banker</w:t>
      </w:r>
      <w:r>
        <w:t xml:space="preserve"> </w:t>
      </w:r>
      <w:r>
        <w:t xml:space="preserve">workflows in Abu Dhabi.</w:t>
      </w:r>
      <w:r>
        <w:t xml:space="preserve"> </w:t>
      </w:r>
      <w:r>
        <w:t xml:space="preserve">- The intersection of Islamic finance principles with digital banking tools (e.g., blockchain-based sukuk issuance) remains understudied within UAE contexts.</w:t>
      </w:r>
      <w:r>
        <w:t xml:space="preserve"> </w:t>
      </w:r>
      <w:r>
        <w:t xml:space="preserve">- Cultural competence—vital in Abu Dhabi’s 80% expatriate population—is often treated as a "soft skill" rather than a core competency for the</w:t>
      </w:r>
      <w:r>
        <w:t xml:space="preserve"> </w:t>
      </w:r>
      <w:r>
        <w:rPr>
          <w:bCs/>
          <w:b/>
        </w:rPr>
        <w:t xml:space="preserve">Banker</w:t>
      </w:r>
      <w:r>
        <w:t xml:space="preserve">.</w:t>
      </w:r>
      <w:r>
        <w:t xml:space="preserve"> </w:t>
      </w:r>
      <w:r>
        <w:t xml:space="preserve">This research bridges these gaps by centering Abu Dhabi as the analytical lens, moving beyond generic Middle Eastern banking discourse.</w:t>
      </w:r>
    </w:p>
    <w:bookmarkEnd w:id="22"/>
    <w:bookmarkStart w:id="23" w:name="research-objectives"/>
    <w:p>
      <w:pPr>
        <w:pStyle w:val="Heading2"/>
      </w:pPr>
      <w:r>
        <w:t xml:space="preserve">Research Objectives</w:t>
      </w:r>
    </w:p>
    <w:p>
      <w:pPr>
        <w:numPr>
          <w:ilvl w:val="0"/>
          <w:numId w:val="1001"/>
        </w:numPr>
        <w:pStyle w:val="Compact"/>
      </w:pPr>
      <w:r>
        <w:t xml:space="preserve">To map the evolving responsibilities of a modern Banker in United Arab Emirates Abu Dhabi through empirical analysis of job descriptions, training curricula, and client interactions across 15+ institutions (e.g., First Gulf Bank, Abu Dhabi Commercial Bank).</w:t>
      </w:r>
    </w:p>
    <w:p>
      <w:pPr>
        <w:numPr>
          <w:ilvl w:val="0"/>
          <w:numId w:val="1001"/>
        </w:numPr>
        <w:pStyle w:val="Compact"/>
      </w:pPr>
      <w:r>
        <w:t xml:space="preserve">To quantify the impact of digital transformation on traditional</w:t>
      </w:r>
      <w:r>
        <w:t xml:space="preserve"> </w:t>
      </w:r>
      <w:r>
        <w:rPr>
          <w:bCs/>
          <w:b/>
        </w:rPr>
        <w:t xml:space="preserve">Banker</w:t>
      </w:r>
      <w:r>
        <w:t xml:space="preserve"> </w:t>
      </w:r>
      <w:r>
        <w:t xml:space="preserve">tasks using quantitative surveys with 200+ banking professionals in Abu Dhabi.</w:t>
      </w:r>
    </w:p>
    <w:p>
      <w:pPr>
        <w:numPr>
          <w:ilvl w:val="0"/>
          <w:numId w:val="1001"/>
        </w:numPr>
        <w:pStyle w:val="Compact"/>
      </w:pPr>
      <w:r>
        <w:t xml:space="preserve">To evaluate how regulatory shifts (e.g., Central Bank’s Open Banking Initiative) reshape advisory roles, using case studies from UAE-based banks.</w:t>
      </w:r>
    </w:p>
    <w:p>
      <w:pPr>
        <w:numPr>
          <w:ilvl w:val="0"/>
          <w:numId w:val="1001"/>
        </w:numPr>
        <w:pStyle w:val="Compact"/>
      </w:pPr>
      <w:r>
        <w:t xml:space="preserve">To develop a competency framework for the future</w:t>
      </w:r>
      <w:r>
        <w:t xml:space="preserve"> </w:t>
      </w:r>
      <w:r>
        <w:rPr>
          <w:bCs/>
          <w:b/>
        </w:rPr>
        <w:t xml:space="preserve">Banker</w:t>
      </w:r>
      <w:r>
        <w:t xml:space="preserve"> </w:t>
      </w:r>
      <w:r>
        <w:t xml:space="preserve">aligned with Abu Dhabi’s economic diversification goals, incorporating stakeholder input from regulators and clients.</w:t>
      </w:r>
    </w:p>
    <w:bookmarkEnd w:id="23"/>
    <w:bookmarkStart w:id="24" w:name="methodology"/>
    <w:p>
      <w:pPr>
        <w:pStyle w:val="Heading2"/>
      </w:pPr>
      <w:r>
        <w:t xml:space="preserve">Methodology</w:t>
      </w:r>
    </w:p>
    <w:p>
      <w:pPr>
        <w:pStyle w:val="FirstParagraph"/>
      </w:pPr>
      <w:r>
        <w:t xml:space="preserve">This study employs a mixed-methods design:</w:t>
      </w:r>
      <w:r>
        <w:t xml:space="preserve"> </w:t>
      </w:r>
      <w:r>
        <w:t xml:space="preserve">- **Quantitative Phase**: Online surveys distributed to 300+ Bankers across Abu Dhabi’s licensed banks (response rate target: 65%), measuring skill demand shifts (e.g., AI literacy, Islamic finance knowledge) using Likert-scale questions.</w:t>
      </w:r>
      <w:r>
        <w:t xml:space="preserve"> </w:t>
      </w:r>
      <w:r>
        <w:t xml:space="preserve">- **Qualitative Phase**: Semi-structured interviews with 25 senior stakeholders—including Central Bank of UAE policymakers, head of digital transformation at Abu Dhabi Investment Authority (ADIA), and cross-cultural client representatives—to explore nuanced challenges.</w:t>
      </w:r>
      <w:r>
        <w:t xml:space="preserve"> </w:t>
      </w:r>
      <w:r>
        <w:t xml:space="preserve">- **Comparative Analysis**: Benchmarking findings against global banking role frameworks (e.g., World Economic Forum’s Future of Jobs Report) to identify Abu Dhabi-specific deviations.</w:t>
      </w:r>
      <w:r>
        <w:t xml:space="preserve"> </w:t>
      </w:r>
      <w:r>
        <w:t xml:space="preserve">Data analysis will use NVivo for thematic coding and SPSS for statistical validation, ensuring results reflect Abu Dhabi’s unique socio-financial dynamics.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three key contributions:</w:t>
      </w:r>
      <w:r>
        <w:t xml:space="preserve"> </w:t>
      </w:r>
      <w:r>
        <w:t xml:space="preserve">1. **Academic**: A theoretically grounded framework for the "Abu Dhabi Modern Banker" role, advancing FinTech and cultural competence literature in emerging markets.</w:t>
      </w:r>
      <w:r>
        <w:t xml:space="preserve"> </w:t>
      </w:r>
      <w:r>
        <w:t xml:space="preserve">2. **Practical**: An actionable competency matrix for banks to redesign recruitment, training (e.g., integrating Sharia-compliant AI tools into curricula), and performance metrics.</w:t>
      </w:r>
      <w:r>
        <w:t xml:space="preserve"> </w:t>
      </w:r>
      <w:r>
        <w:t xml:space="preserve">3. **Strategic**: Policy recommendations for Abu Dhabi’s Financial Regulatory Authority (FRA) on aligning banking education with national economic priorities like the $2 trillion sovereign wealth fund growth targets.</w:t>
      </w:r>
      <w:r>
        <w:t xml:space="preserve"> </w:t>
      </w:r>
      <w:r>
        <w:t xml:space="preserve">Crucially, this work will position the</w:t>
      </w:r>
      <w:r>
        <w:t xml:space="preserve"> </w:t>
      </w:r>
      <w:r>
        <w:rPr>
          <w:bCs/>
          <w:b/>
        </w:rPr>
        <w:t xml:space="preserve">Banker</w:t>
      </w:r>
      <w:r>
        <w:t xml:space="preserve"> </w:t>
      </w:r>
      <w:r>
        <w:t xml:space="preserve">not merely as a service provider but as an indispensable agent of Abu Dhabi’s economic sovereignty—a perspective vital for United Arab Emirates Abu Dhabi to maintain its leadership in a competitive global financial landscape.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Refined research questions; validated survey instrument</w:t>
            </w:r>
          </w:p>
        </w:tc>
      </w:tr>
      <w:tr>
        <w:tc>
          <w:tcPr/>
          <w:p>
            <w:pPr>
              <w:pStyle w:val="Compact"/>
              <w:jc w:val="left"/>
            </w:pPr>
            <w:r>
              <w:t xml:space="preserve">Data Collection (Quantitative + Qualitative)</w:t>
            </w:r>
          </w:p>
        </w:tc>
        <w:tc>
          <w:tcPr/>
          <w:p>
            <w:pPr>
              <w:pStyle w:val="Compact"/>
              <w:jc w:val="left"/>
            </w:pPr>
            <w:r>
              <w:t xml:space="preserve">4-7</w:t>
            </w:r>
          </w:p>
        </w:tc>
        <w:tc>
          <w:tcPr/>
          <w:p>
            <w:pPr>
              <w:pStyle w:val="Compact"/>
              <w:jc w:val="left"/>
            </w:pPr>
            <w:r>
              <w:t xml:space="preserve">200+ surveys; 25 interviews; preliminary insights on role evolution</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Competency framework draft; regulatory impact assessment</w:t>
            </w:r>
          </w:p>
        </w:tc>
      </w:tr>
      <w:tr>
        <w:tc>
          <w:tcPr/>
          <w:p>
            <w:pPr>
              <w:pStyle w:val="Compact"/>
              <w:jc w:val="left"/>
            </w:pPr>
            <w:r>
              <w:t xml:space="preserve">Dissertation Writing &amp; Stakeholder Review</w:t>
            </w:r>
          </w:p>
        </w:tc>
        <w:tc>
          <w:tcPr/>
          <w:p>
            <w:pPr>
              <w:pStyle w:val="Compact"/>
              <w:jc w:val="left"/>
            </w:pPr>
            <w:r>
              <w:t xml:space="preserve">11-12</w:t>
            </w:r>
          </w:p>
        </w:tc>
        <w:tc>
          <w:tcPr/>
          <w:p>
            <w:pPr>
              <w:pStyle w:val="Compact"/>
              <w:jc w:val="left"/>
            </w:pPr>
            <w:r>
              <w:t xml:space="preserve">Final thesis; policy brief for UAE Central Bank FRA</w:t>
            </w:r>
          </w:p>
        </w:tc>
      </w:tr>
    </w:tbl>
    <w:bookmarkEnd w:id="26"/>
    <w:bookmarkStart w:id="27" w:name="conclusion"/>
    <w:p>
      <w:pPr>
        <w:pStyle w:val="Heading2"/>
      </w:pPr>
      <w:r>
        <w:t xml:space="preserve">Conclusion</w:t>
      </w:r>
    </w:p>
    <w:p>
      <w:pPr>
        <w:pStyle w:val="FirstParagraph"/>
      </w:pPr>
      <w:r>
        <w:t xml:space="preserve">The trajectory of banking in United Arab Emirates Abu Dhabi transcends transactional finance—it is intrinsically linked to national prosperity. This</w:t>
      </w:r>
      <w:r>
        <w:t xml:space="preserve"> </w:t>
      </w:r>
      <w:r>
        <w:rPr>
          <w:bCs/>
          <w:b/>
        </w:rPr>
        <w:t xml:space="preserve">Thesis Proposal</w:t>
      </w:r>
      <w:r>
        <w:t xml:space="preserve"> </w:t>
      </w:r>
      <w:r>
        <w:t xml:space="preserve">asserts that the success of Abu Dhabi’s financial ecosystem hinges on redefining the</w:t>
      </w:r>
      <w:r>
        <w:t xml:space="preserve"> </w:t>
      </w:r>
      <w:r>
        <w:rPr>
          <w:bCs/>
          <w:b/>
        </w:rPr>
        <w:t xml:space="preserve">Banker</w:t>
      </w:r>
      <w:r>
        <w:t xml:space="preserve">'s role as a culturally agile, technologically fluent strategic partner. As the United Arab Emirates solidifies its position as a global fintech pioneer (evidenced by ADGM’s regulatory sandbox), this research will provide empirical evidence to future-proof Abu Dhabi’s banking talent pipeline. By grounding the analysis in Abu Dhabi-specific realities—from Islamic finance integration to sovereign wealth management—we move beyond generic globalization narratives to deliver contextually precise insights. The outcomes will empower UAE institutions, regulators, and educational bodies (e.g., Zayed University) to cultivate Bankers who embody the innovation, integrity, and strategic foresight demanded by Abu Dhabi’s ambitious economic vision. In doing so, this study doesn’t merely analyze banking; it actively shapes the future of finance in one of the world’s most dynamic financial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United Arab Emirates Abu Dhabi</dc:title>
  <dc:creator/>
  <dc:language>en</dc:language>
  <cp:keywords/>
  <dcterms:created xsi:type="dcterms:W3CDTF">2026-07-23T14:12:59Z</dcterms:created>
  <dcterms:modified xsi:type="dcterms:W3CDTF">2026-07-23T14:12:59Z</dcterms:modified>
</cp:coreProperties>
</file>

<file path=docProps/custom.xml><?xml version="1.0" encoding="utf-8"?>
<Properties xmlns="http://schemas.openxmlformats.org/officeDocument/2006/custom-properties" xmlns:vt="http://schemas.openxmlformats.org/officeDocument/2006/docPropsVTypes"/>
</file>