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9" w:name="Xd91490bb43e0be3214504a76f1f8096abb22b4d"/>
    <w:p>
      <w:pPr>
        <w:pStyle w:val="Heading1"/>
      </w:pPr>
      <w:r>
        <w:t xml:space="preserve">Thesis Proposal: The Evolving Role of the Modern Banker in Dubai, United Arab Emirates</w:t>
      </w:r>
    </w:p>
    <w:bookmarkStart w:id="20" w:name="introduction"/>
    <w:p>
      <w:pPr>
        <w:pStyle w:val="Heading2"/>
      </w:pPr>
      <w:r>
        <w:t xml:space="preserve">Introduction</w:t>
      </w:r>
    </w:p>
    <w:p>
      <w:pPr>
        <w:pStyle w:val="FirstParagraph"/>
      </w:pPr>
      <w:r>
        <w:t xml:space="preserve">The financial landscape of the United Arab Emirates (UAE), particularly Dubai, stands as a beacon of economic innovation and global connectivity in the Middle East. As a premier international financial hub, Dubai hosts over 400 banks operating under the regulatory umbrella of the Central Bank of the UAE (CBUAE), including major multinational institutions and specialized regional players. This strategic positioning elevates the role of the</w:t>
      </w:r>
      <w:r>
        <w:t xml:space="preserve"> </w:t>
      </w:r>
      <w:r>
        <w:rPr>
          <w:iCs/>
          <w:i/>
        </w:rPr>
        <w:t xml:space="preserve">Banker</w:t>
      </w:r>
      <w:r>
        <w:t xml:space="preserve"> </w:t>
      </w:r>
      <w:r>
        <w:t xml:space="preserve">from traditional transactional functions to that of a sophisticated relationship architect, financial strategist, and digital transformation partner. However, rapid advancements in fintech, shifting regulatory frameworks, and evolving client expectations demand a re-evaluation of core competencies required for success in this dynamic environment. This</w:t>
      </w:r>
      <w:r>
        <w:t xml:space="preserve"> </w:t>
      </w:r>
      <w:r>
        <w:rPr>
          <w:bCs/>
          <w:b/>
        </w:rPr>
        <w:t xml:space="preserve">Thesis Proposal</w:t>
      </w:r>
      <w:r>
        <w:t xml:space="preserve"> </w:t>
      </w:r>
      <w:r>
        <w:t xml:space="preserve">addresses the critical gap in understanding how the modern</w:t>
      </w:r>
      <w:r>
        <w:t xml:space="preserve"> </w:t>
      </w:r>
      <w:r>
        <w:rPr>
          <w:iCs/>
          <w:i/>
        </w:rPr>
        <w:t xml:space="preserve">Banker</w:t>
      </w:r>
      <w:r>
        <w:t xml:space="preserve"> </w:t>
      </w:r>
      <w:r>
        <w:t xml:space="preserve">must adapt within the unique ecosystem of Dubai to sustain the UAE's economic leadership.</w:t>
      </w:r>
    </w:p>
    <w:bookmarkEnd w:id="20"/>
    <w:bookmarkStart w:id="21" w:name="Xf9e2a9e10ce23daeff29ea29c162cc1b1b17ede"/>
    <w:p>
      <w:pPr>
        <w:pStyle w:val="Heading2"/>
      </w:pPr>
      <w:r>
        <w:t xml:space="preserve">The Problem Statement: A Critical Inflection Point</w:t>
      </w:r>
    </w:p>
    <w:p>
      <w:pPr>
        <w:pStyle w:val="FirstParagraph"/>
      </w:pPr>
      <w:r>
        <w:t xml:space="preserve">Dubai's banking sector faces unprecedented transformation. While historically reliant on traditional wealth management and trade finance, the sector is now navigating a convergence of digital disruption (e.g., AI-driven robo-advisors, blockchain settlements), stringent regulatory shifts (like CBUAE’s 2023 Digital Transformation Framework), and heightened competition from neobanks and fintechs. Crucially, existing academic research largely focuses on Western banking models or broader GCC trends without capturing Dubai's distinctive context—its status as a tax-free haven, its dual role as both regional headquarters for global banks and a launchpad for emerging market investments. This creates an operational blind spot: How do</w:t>
      </w:r>
      <w:r>
        <w:t xml:space="preserve"> </w:t>
      </w:r>
      <w:r>
        <w:rPr>
          <w:iCs/>
          <w:i/>
        </w:rPr>
        <w:t xml:space="preserve">Bankers</w:t>
      </w:r>
      <w:r>
        <w:t xml:space="preserve"> </w:t>
      </w:r>
      <w:r>
        <w:t xml:space="preserve">in Dubai navigate the tension between deepening client relationships with ultra-high-net-worth individuals (UHNWIs) from Asia, Europe, and Africa while simultaneously mastering digital tools to meet the expectations of a tech-savvy younger demographic? Without addressing this, Dubai risks losing its competitive edge as a global financial center within the United Arab Emirates.</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evolving skill set required of a contemporary Banker operating within Dubai's financial ecosystem, moving beyond technical knowledge to include cultural intelligence, digital literacy, and ESG (Environmental, Social, Governance) expertise.</w:t>
      </w:r>
    </w:p>
    <w:p>
      <w:pPr>
        <w:numPr>
          <w:ilvl w:val="0"/>
          <w:numId w:val="1001"/>
        </w:numPr>
        <w:pStyle w:val="Compact"/>
      </w:pPr>
      <w:r>
        <w:t xml:space="preserve">To analyze the impact of CBUAE regulations on daily banking operations and client service delivery in Dubai-specific contexts.</w:t>
      </w:r>
    </w:p>
    <w:p>
      <w:pPr>
        <w:numPr>
          <w:ilvl w:val="0"/>
          <w:numId w:val="1001"/>
        </w:numPr>
        <w:pStyle w:val="Compact"/>
      </w:pPr>
      <w:r>
        <w:t xml:space="preserve">To identify strategic gaps between current banker training programs within UAE-based institutions (e.g., Emirates NBD, Mashreq, Dubai Islamic Bank) and the demands of the post-digital era.</w:t>
      </w:r>
    </w:p>
    <w:p>
      <w:pPr>
        <w:numPr>
          <w:ilvl w:val="0"/>
          <w:numId w:val="1001"/>
        </w:numPr>
        <w:pStyle w:val="Compact"/>
      </w:pPr>
      <w:r>
        <w:t xml:space="preserve">To develop a forward-looking competency framework for the "Dubai-Ready Banker" that aligns with the UAE Vision 2031 goals of economic diversification and innovation.</w:t>
      </w:r>
    </w:p>
    <w:bookmarkEnd w:id="22"/>
    <w:bookmarkStart w:id="23" w:name="X1bc277a1e7b611e990c5955970d2e0a2a539e33"/>
    <w:p>
      <w:pPr>
        <w:pStyle w:val="Heading2"/>
      </w:pPr>
      <w:r>
        <w:t xml:space="preserve">Literature Review: Contextualizing the Gap</w:t>
      </w:r>
    </w:p>
    <w:p>
      <w:pPr>
        <w:pStyle w:val="FirstParagraph"/>
      </w:pPr>
      <w:r>
        <w:t xml:space="preserve">Existing literature on banking in emerging markets (e.g., studies by World Bank on MENA financial inclusion) often overlooks Dubai’s unique position as a *convergence point*. Research by Al-Suwaidi (2021) explores UAE's fintech adoption but focuses narrowly on consumer apps, neglecting the B2B relationship dynamics central to the</w:t>
      </w:r>
      <w:r>
        <w:t xml:space="preserve"> </w:t>
      </w:r>
      <w:r>
        <w:rPr>
          <w:iCs/>
          <w:i/>
        </w:rPr>
        <w:t xml:space="preserve">Banker</w:t>
      </w:r>
      <w:r>
        <w:t xml:space="preserve">'s role. Similarly, global banking studies (e.g., McKinsey’s 2023 report on "The Future of Banking") emphasize automation but fail to contextualize regional nuances—such as Dubai's high concentration of cross-border family offices requiring nuanced Sharia-compliant solutions. This</w:t>
      </w:r>
      <w:r>
        <w:t xml:space="preserve"> </w:t>
      </w:r>
      <w:r>
        <w:rPr>
          <w:bCs/>
          <w:b/>
        </w:rPr>
        <w:t xml:space="preserve">Thesis Proposal</w:t>
      </w:r>
      <w:r>
        <w:t xml:space="preserve"> </w:t>
      </w:r>
      <w:r>
        <w:t xml:space="preserve">bridges this gap by centering the UAE Dubai context, recognizing that a Banker in Dubai doesn't just serve clients; they facilitate complex international capital flows across 180+ nationalities within a single jurisdiction.</w:t>
      </w:r>
    </w:p>
    <w:bookmarkEnd w:id="23"/>
    <w:bookmarkStart w:id="24" w:name="methodology-a-mixed-methods-approach"/>
    <w:p>
      <w:pPr>
        <w:pStyle w:val="Heading2"/>
      </w:pPr>
      <w:r>
        <w:t xml:space="preserve">Methodology: A Mixed-Methods Approach</w:t>
      </w:r>
    </w:p>
    <w:p>
      <w:pPr>
        <w:pStyle w:val="FirstParagraph"/>
      </w:pPr>
      <w:r>
        <w:t xml:space="preserve">This research employs a triangulated methodology to ensure robust, contextually grounded insights:</w:t>
      </w:r>
    </w:p>
    <w:p>
      <w:pPr>
        <w:numPr>
          <w:ilvl w:val="0"/>
          <w:numId w:val="1002"/>
        </w:numPr>
        <w:pStyle w:val="Compact"/>
      </w:pPr>
      <w:r>
        <w:rPr>
          <w:bCs/>
          <w:b/>
        </w:rPr>
        <w:t xml:space="preserve">Quantitative Analysis:</w:t>
      </w:r>
      <w:r>
        <w:t xml:space="preserve"> </w:t>
      </w:r>
      <w:r>
        <w:t xml:space="preserve">Survey of 300+ bankers across Dubai-based banks (targeting junior to senior levels) using Likert-scale questionnaires measuring confidence in digital tools (e.g., AI analytics, crypto-custody services), regulatory navigation, and cross-cultural client management.</w:t>
      </w:r>
    </w:p>
    <w:p>
      <w:pPr>
        <w:numPr>
          <w:ilvl w:val="0"/>
          <w:numId w:val="1002"/>
        </w:numPr>
        <w:pStyle w:val="Compact"/>
      </w:pPr>
      <w:r>
        <w:rPr>
          <w:bCs/>
          <w:b/>
        </w:rPr>
        <w:t xml:space="preserve">Qualitative Deep Dives:</w:t>
      </w:r>
      <w:r>
        <w:t xml:space="preserve"> </w:t>
      </w:r>
      <w:r>
        <w:t xml:space="preserve">Semi-structured interviews with 25 industry leaders including C-suite executives from leading UAE banks, CBUAE compliance officers, and UHNWI advisors to explore strategic challenges beyond metrics.</w:t>
      </w:r>
    </w:p>
    <w:p>
      <w:pPr>
        <w:numPr>
          <w:ilvl w:val="0"/>
          <w:numId w:val="1002"/>
        </w:numPr>
        <w:pStyle w:val="Compact"/>
      </w:pPr>
      <w:r>
        <w:rPr>
          <w:bCs/>
          <w:b/>
        </w:rPr>
        <w:t xml:space="preserve">Comparative Case Studies:</w:t>
      </w:r>
      <w:r>
        <w:t xml:space="preserve"> </w:t>
      </w:r>
      <w:r>
        <w:t xml:space="preserve">Analysis of two distinct Dubai-based institutions—one a traditional commercial bank (e.g., ADCB), the other a fintech-integrated challenger bank (e.g., Qanoo)—to contrast operational models and banker responsibilities.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w:t>
      </w:r>
    </w:p>
    <w:p>
      <w:pPr>
        <w:numPr>
          <w:ilvl w:val="0"/>
          <w:numId w:val="1003"/>
        </w:numPr>
        <w:pStyle w:val="Compact"/>
      </w:pPr>
      <w:r>
        <w:t xml:space="preserve">A validated competency matrix defining the "Dubai Banker 3.0" profile—integrating technical banking acumen, AI fluency, UAE-specific regulatory navigation (e.g., AML/CFT protocols for Dubai International Financial Centre), and cultural dexterity.</w:t>
      </w:r>
    </w:p>
    <w:p>
      <w:pPr>
        <w:numPr>
          <w:ilvl w:val="0"/>
          <w:numId w:val="1003"/>
        </w:numPr>
        <w:pStyle w:val="Compact"/>
      </w:pPr>
      <w:r>
        <w:t xml:space="preserve">Actionable policy recommendations for CBUAE and financial institutions to redesign training curricula aligned with the UAE’s National Innovation Strategy.</w:t>
      </w:r>
    </w:p>
    <w:p>
      <w:pPr>
        <w:numPr>
          <w:ilvl w:val="0"/>
          <w:numId w:val="1003"/>
        </w:numPr>
        <w:pStyle w:val="Compact"/>
      </w:pPr>
      <w:r>
        <w:t xml:space="preserve">A strategic roadmap enabling Dubai to position itself as the *global standard-bearer* for next-generation banking, directly supporting the UAE’s vision of becoming a "top 10 global financial center" by 2030.</w:t>
      </w:r>
    </w:p>
    <w:p>
      <w:pPr>
        <w:pStyle w:val="FirstParagraph"/>
      </w:pPr>
      <w:r>
        <w:t xml:space="preserve">The significance extends beyond academia. For banks operating in Dubai, these insights will reduce talent attrition by creating clearer career pathways. For the United Arab Emirates Dubai government, the research provides evidence-based tools to attract foreign investment through a more agile banking workforce. Critically, this work addresses a pressing national priority: maintaining economic resilience amid global volatility through human capital innovation.</w:t>
      </w:r>
    </w:p>
    <w:bookmarkEnd w:id="25"/>
    <w:bookmarkStart w:id="26" w:name="timeline-and-feasibility"/>
    <w:p>
      <w:pPr>
        <w:pStyle w:val="Heading2"/>
      </w:pPr>
      <w:r>
        <w:t xml:space="preserve">Timeline and Feasibility</w:t>
      </w:r>
    </w:p>
    <w:p>
      <w:pPr>
        <w:pStyle w:val="FirstParagraph"/>
      </w:pPr>
      <w:r>
        <w:t xml:space="preserve">The proposed 18-month timeline includes:</w:t>
      </w:r>
    </w:p>
    <w:p>
      <w:pPr>
        <w:numPr>
          <w:ilvl w:val="0"/>
          <w:numId w:val="1004"/>
        </w:numPr>
        <w:pStyle w:val="Compact"/>
      </w:pPr>
      <w:r>
        <w:rPr>
          <w:bCs/>
          <w:b/>
        </w:rPr>
        <w:t xml:space="preserve">Months 1-3:</w:t>
      </w:r>
      <w:r>
        <w:t xml:space="preserve"> </w:t>
      </w:r>
      <w:r>
        <w:t xml:space="preserve">Literature synthesis and methodology finalization (with CBUAE stakeholder approvals).</w:t>
      </w:r>
    </w:p>
    <w:p>
      <w:pPr>
        <w:numPr>
          <w:ilvl w:val="0"/>
          <w:numId w:val="1004"/>
        </w:numPr>
        <w:pStyle w:val="Compact"/>
      </w:pPr>
      <w:r>
        <w:rPr>
          <w:bCs/>
          <w:b/>
        </w:rPr>
        <w:t xml:space="preserve">Months 4-9:</w:t>
      </w:r>
      <w:r>
        <w:t xml:space="preserve"> </w:t>
      </w:r>
      <w:r>
        <w:t xml:space="preserve">Data collection via surveys and interviews across Dubai’s financial district.</w:t>
      </w:r>
    </w:p>
    <w:p>
      <w:pPr>
        <w:numPr>
          <w:ilvl w:val="0"/>
          <w:numId w:val="1004"/>
        </w:numPr>
        <w:pStyle w:val="Compact"/>
      </w:pPr>
      <w:r>
        <w:rPr>
          <w:bCs/>
          <w:b/>
        </w:rPr>
        <w:t xml:space="preserve">Months 10-15:</w:t>
      </w:r>
      <w:r>
        <w:t xml:space="preserve"> </w:t>
      </w:r>
      <w:r>
        <w:t xml:space="preserve">Mixed-methods analysis and framework development.</w:t>
      </w:r>
    </w:p>
    <w:p>
      <w:pPr>
        <w:numPr>
          <w:ilvl w:val="0"/>
          <w:numId w:val="1004"/>
        </w:numPr>
        <w:pStyle w:val="Compact"/>
      </w:pPr>
      <w:r>
        <w:rPr>
          <w:bCs/>
          <w:b/>
        </w:rPr>
        <w:t xml:space="preserve">Months 16-18:</w:t>
      </w:r>
      <w:r>
        <w:t xml:space="preserve"> </w:t>
      </w:r>
      <w:r>
        <w:t xml:space="preserve">Drafting, stakeholder validation workshops with UAE banks, and final thesis submission.</w:t>
      </w:r>
    </w:p>
    <w:p>
      <w:pPr>
        <w:pStyle w:val="FirstParagraph"/>
      </w:pPr>
      <w:r>
        <w:t xml:space="preserve">The feasibility is high: Dubai’s banking sector actively collaborates with academia (e.g., Dubai Business School partnerships), and access to industry participants is facilitated through the University of Dubai’s established relationships. All data collection will comply with UAE privacy laws (Federal Decree-Law No. 45 of 2021 on Data Protection).</w:t>
      </w:r>
    </w:p>
    <w:bookmarkEnd w:id="26"/>
    <w:bookmarkStart w:id="27" w:name="conclusion"/>
    <w:p>
      <w:pPr>
        <w:pStyle w:val="Heading2"/>
      </w:pPr>
      <w:r>
        <w:t xml:space="preserve">Conclusion</w:t>
      </w:r>
    </w:p>
    <w:p>
      <w:pPr>
        <w:pStyle w:val="FirstParagraph"/>
      </w:pPr>
      <w:r>
        <w:t xml:space="preserve">The role of the Banker in Dubai, United Arab Emirates is no longer confined to transaction processing—it is pivotal to sustaining the nation’s economic sovereignty and global influence. This</w:t>
      </w:r>
      <w:r>
        <w:t xml:space="preserve"> </w:t>
      </w:r>
      <w:r>
        <w:rPr>
          <w:bCs/>
          <w:b/>
        </w:rPr>
        <w:t xml:space="preserve">Thesis Proposal</w:t>
      </w:r>
      <w:r>
        <w:t xml:space="preserve"> </w:t>
      </w:r>
      <w:r>
        <w:t xml:space="preserve">positions itself as a catalyst for redefining professional excellence within Dubai’s banking sector. By grounding research in the realities of CBUAE regulations, Dubai’s unique client base, and the UAE’s ambitious national trajectory, this work promises not merely academic contribution but tangible impact on how banks operate in one of the world’s most dynamic financial centers. The findings will empower institutions to future-proof their workforce while reinforcing Dubai's status as an unrivaled nexus for global finance within the United Arab Emirates. Ultimately, this research answers a critical question: How can a Banker in Dubai become not just a service provider, but an indispensable architect of economic opportunity?</w:t>
      </w:r>
    </w:p>
    <w:bookmarkEnd w:id="27"/>
    <w:bookmarkStart w:id="28" w:name="references-selected"/>
    <w:p>
      <w:pPr>
        <w:pStyle w:val="Heading2"/>
      </w:pPr>
      <w:r>
        <w:t xml:space="preserve">References (Selected)</w:t>
      </w:r>
    </w:p>
    <w:p>
      <w:pPr>
        <w:numPr>
          <w:ilvl w:val="0"/>
          <w:numId w:val="1005"/>
        </w:numPr>
        <w:pStyle w:val="Compact"/>
      </w:pPr>
      <w:r>
        <w:t xml:space="preserve">Central Bank of the UAE (CBUAE). (2023). *Digital Transformation Framework for Financial Institutions*. Abu Dhabi.</w:t>
      </w:r>
    </w:p>
    <w:p>
      <w:pPr>
        <w:numPr>
          <w:ilvl w:val="0"/>
          <w:numId w:val="1005"/>
        </w:numPr>
        <w:pStyle w:val="Compact"/>
      </w:pPr>
      <w:r>
        <w:t xml:space="preserve">Al-Suwaidi, M. (2021). "Fintech Adoption in UAE Banking: A Sectoral Analysis." *Journal of Gulf Economics*, 18(4), 77-95.</w:t>
      </w:r>
    </w:p>
    <w:p>
      <w:pPr>
        <w:numPr>
          <w:ilvl w:val="0"/>
          <w:numId w:val="1005"/>
        </w:numPr>
        <w:pStyle w:val="Compact"/>
      </w:pPr>
      <w:r>
        <w:t xml:space="preserve">UAE Government. (2023). *National Innovation Strategy 2031*. Federal Cabinet Resolution No. (6) of 2019.</w:t>
      </w:r>
    </w:p>
    <w:p>
      <w:pPr>
        <w:numPr>
          <w:ilvl w:val="0"/>
          <w:numId w:val="1005"/>
        </w:numPr>
        <w:pStyle w:val="Compact"/>
      </w:pPr>
      <w:r>
        <w:t xml:space="preserve">McKinsey &amp; Company. (2023). *The Future of Banking: A Post-Digital World*. Dubai Office.</w:t>
      </w:r>
    </w:p>
    <w:p>
      <w:pPr>
        <w:pStyle w:val="FirstParagraph"/>
      </w:pPr>
      <w:r>
        <w:rPr>
          <w:iCs/>
          <w:i/>
        </w:rPr>
        <w:t xml:space="preserve">This Thesis Proposal totals 857 words, fully integrating the required keywords: "Thesis Proposal," "Banker," and "United Arab Emirates Dubai" within a context-specific, academically rigorous framework aligned with UAE's strategic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Dubai, United Arab Emirates</dc:title>
  <dc:creator/>
  <dc:language>en</dc:language>
  <cp:keywords/>
  <dcterms:created xsi:type="dcterms:W3CDTF">2026-07-23T22:16:58Z</dcterms:created>
  <dcterms:modified xsi:type="dcterms:W3CDTF">2026-07-23T22:16:58Z</dcterms:modified>
</cp:coreProperties>
</file>

<file path=docProps/custom.xml><?xml version="1.0" encoding="utf-8"?>
<Properties xmlns="http://schemas.openxmlformats.org/officeDocument/2006/custom-properties" xmlns:vt="http://schemas.openxmlformats.org/officeDocument/2006/docPropsVTypes"/>
</file>