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United</w:t>
      </w:r>
      <w:r>
        <w:t xml:space="preserve"> </w:t>
      </w:r>
      <w:r>
        <w:t xml:space="preserve">States</w:t>
      </w:r>
      <w:r>
        <w:t xml:space="preserve"> </w:t>
      </w:r>
      <w:r>
        <w:t xml:space="preserve">Chicago</w:t>
      </w:r>
    </w:p>
    <w:bookmarkStart w:id="29" w:name="X5767feaf56bf6254db2851a2c03ea238713662b"/>
    <w:p>
      <w:pPr>
        <w:pStyle w:val="Heading1"/>
      </w:pPr>
      <w:r>
        <w:t xml:space="preserve">Thesis Proposal: The Evolving Role of the Modern Banker in United States Chicago</w:t>
      </w:r>
    </w:p>
    <w:bookmarkStart w:id="20" w:name="introduction"/>
    <w:p>
      <w:pPr>
        <w:pStyle w:val="Heading2"/>
      </w:pPr>
      <w:r>
        <w:t xml:space="preserve">Introduction</w:t>
      </w:r>
    </w:p>
    <w:p>
      <w:pPr>
        <w:pStyle w:val="FirstParagraph"/>
      </w:pPr>
      <w:r>
        <w:t xml:space="preserve">The banking sector remains a cornerstone of economic stability within the</w:t>
      </w:r>
      <w:r>
        <w:t xml:space="preserve"> </w:t>
      </w:r>
      <w:r>
        <w:rPr>
          <w:bCs/>
          <w:b/>
        </w:rPr>
        <w:t xml:space="preserve">United States Chicago</w:t>
      </w:r>
      <w:r>
        <w:t xml:space="preserve"> </w:t>
      </w:r>
      <w:r>
        <w:t xml:space="preserve">metropolitan area, a global financial hub that accounts for over 5% of national GDP. As we navigate the complexities of digital transformation, regulatory shifts, and socioeconomic disparities in the post-pandemic era, understanding the contemporary</w:t>
      </w:r>
      <w:r>
        <w:t xml:space="preserve"> </w:t>
      </w:r>
      <w:r>
        <w:rPr>
          <w:iCs/>
          <w:i/>
        </w:rPr>
        <w:t xml:space="preserve">Banker</w:t>
      </w:r>
      <w:r>
        <w:t xml:space="preserve">'s role has become critically urgent. This</w:t>
      </w:r>
      <w:r>
        <w:t xml:space="preserve"> </w:t>
      </w:r>
      <w:r>
        <w:rPr>
          <w:bCs/>
          <w:b/>
        </w:rPr>
        <w:t xml:space="preserve">Thesis Proposal</w:t>
      </w:r>
      <w:r>
        <w:t xml:space="preserve"> </w:t>
      </w:r>
      <w:r>
        <w:t xml:space="preserve">outlines a comprehensive study examining how Chicago-based bankers are adapting to technological disruption while maintaining community-centric financial services within the unique economic ecosystem of the</w:t>
      </w:r>
      <w:r>
        <w:t xml:space="preserve"> </w:t>
      </w:r>
      <w:r>
        <w:rPr>
          <w:bCs/>
          <w:b/>
        </w:rPr>
        <w:t xml:space="preserve">United States Chicago</w:t>
      </w:r>
      <w:r>
        <w:t xml:space="preserve">. Given that Chicago hosts 15% of all U.S. bank headquarters and serves as a critical nexus between Wall Street and Midwest commerce, this research addresses a significant gap in scholarly literature focused on regional banking evolution.</w:t>
      </w:r>
    </w:p>
    <w:bookmarkEnd w:id="20"/>
    <w:bookmarkStart w:id="21" w:name="X5072c3975f9c2fb2176fdca067628c23a9520b0"/>
    <w:p>
      <w:pPr>
        <w:pStyle w:val="Heading2"/>
      </w:pPr>
      <w:r>
        <w:t xml:space="preserve">Literature Review: Gaps in Current Scholarship</w:t>
      </w:r>
    </w:p>
    <w:p>
      <w:pPr>
        <w:pStyle w:val="FirstParagraph"/>
      </w:pPr>
      <w:r>
        <w:t xml:space="preserve">Existing academic discourse predominantly centers on New York-based financial institutions or macroeconomic policy impacts. While seminal works by Herring (2019) and Merton (2021) analyze national banking trends, they overlook Chicago's distinct market dynamics. Recent studies by the Federal Reserve Bank of Chicago (2023) document digital adoption rates but neglect the human element—the</w:t>
      </w:r>
      <w:r>
        <w:t xml:space="preserve"> </w:t>
      </w:r>
      <w:r>
        <w:rPr>
          <w:iCs/>
          <w:i/>
        </w:rPr>
        <w:t xml:space="preserve">Banker</w:t>
      </w:r>
      <w:r>
        <w:t xml:space="preserve">'s decision-making processes during service transitions. Similarly, community bank research by Allen &amp; Saunders (2020) emphasizes rural operations, ignoring urban centers like Chicago where 78% of banking interactions occur in high-density commercial zones. This proposal directly addresses these omissions by focusing on the</w:t>
      </w:r>
      <w:r>
        <w:t xml:space="preserve"> </w:t>
      </w:r>
      <w:r>
        <w:rPr>
          <w:iCs/>
          <w:i/>
        </w:rPr>
        <w:t xml:space="preserve">Banker</w:t>
      </w:r>
      <w:r>
        <w:t xml:space="preserve"> </w:t>
      </w:r>
      <w:r>
        <w:t xml:space="preserve">as the pivotal actor within</w:t>
      </w:r>
      <w:r>
        <w:t xml:space="preserve"> </w:t>
      </w:r>
      <w:r>
        <w:rPr>
          <w:bCs/>
          <w:b/>
        </w:rPr>
        <w:t xml:space="preserve">United States Chicago</w:t>
      </w:r>
      <w:r>
        <w:t xml:space="preserve">'s financial infrastructure.</w:t>
      </w:r>
    </w:p>
    <w:bookmarkEnd w:id="21"/>
    <w:bookmarkStart w:id="22" w:name="research-questions-and-objectives"/>
    <w:p>
      <w:pPr>
        <w:pStyle w:val="Heading2"/>
      </w:pPr>
      <w:r>
        <w:t xml:space="preserve">Research Questions and Objectives</w:t>
      </w:r>
    </w:p>
    <w:p>
      <w:pPr>
        <w:pStyle w:val="FirstParagraph"/>
      </w:pPr>
      <w:r>
        <w:t xml:space="preserve">This study advances three primary research questions:</w:t>
      </w:r>
    </w:p>
    <w:p>
      <w:pPr>
        <w:numPr>
          <w:ilvl w:val="0"/>
          <w:numId w:val="1001"/>
        </w:numPr>
        <w:pStyle w:val="Compact"/>
      </w:pPr>
      <w:r>
        <w:rPr>
          <w:bCs/>
          <w:b/>
        </w:rPr>
        <w:t xml:space="preserve">RQ1:</w:t>
      </w:r>
      <w:r>
        <w:t xml:space="preserve"> </w:t>
      </w:r>
      <w:r>
        <w:t xml:space="preserve">How do Chicago-based bankers balance technological innovation (e.g., AI-driven credit scoring) with personalized client relationships in a city where 40% of households are underbanked?</w:t>
      </w:r>
    </w:p>
    <w:p>
      <w:pPr>
        <w:numPr>
          <w:ilvl w:val="0"/>
          <w:numId w:val="1001"/>
        </w:numPr>
        <w:pStyle w:val="Compact"/>
      </w:pPr>
      <w:r>
        <w:rPr>
          <w:bCs/>
          <w:b/>
        </w:rPr>
        <w:t xml:space="preserve">RQ2:</w:t>
      </w:r>
      <w:r>
        <w:t xml:space="preserve"> </w:t>
      </w:r>
      <w:r>
        <w:t xml:space="preserve">What regulatory adaptations have emerged among</w:t>
      </w:r>
      <w:r>
        <w:t xml:space="preserve"> </w:t>
      </w:r>
      <w:r>
        <w:rPr>
          <w:iCs/>
          <w:i/>
        </w:rPr>
        <w:t xml:space="preserve">Banker</w:t>
      </w:r>
      <w:r>
        <w:t xml:space="preserve">s responding to the Illinois Digital Banking Act and federal compliance frameworks?</w:t>
      </w:r>
    </w:p>
    <w:p>
      <w:pPr>
        <w:numPr>
          <w:ilvl w:val="0"/>
          <w:numId w:val="1001"/>
        </w:numPr>
        <w:pStyle w:val="Compact"/>
      </w:pPr>
      <w:r>
        <w:rPr>
          <w:bCs/>
          <w:b/>
        </w:rPr>
        <w:t xml:space="preserve">RQ3:</w:t>
      </w:r>
      <w:r>
        <w:t xml:space="preserve"> </w:t>
      </w:r>
      <w:r>
        <w:t xml:space="preserve">To what extent does geographic location within Chicago (e.g., Loop vs. South Side) influence a banker's service delivery model and community impact?</w:t>
      </w:r>
    </w:p>
    <w:p>
      <w:pPr>
        <w:pStyle w:val="FirstParagraph"/>
      </w:pPr>
      <w:r>
        <w:t xml:space="preserve">The objectives are to: (1) Map the evolving skillset required for modern bankers in</w:t>
      </w:r>
      <w:r>
        <w:t xml:space="preserve"> </w:t>
      </w:r>
      <w:r>
        <w:rPr>
          <w:bCs/>
          <w:b/>
        </w:rPr>
        <w:t xml:space="preserve">United States Chicago</w:t>
      </w:r>
      <w:r>
        <w:t xml:space="preserve">; (2) Identify best practices for maintaining ethical standards amid fintech competition; and (3) Develop a framework for scalable community banking models applicable across Midwest financial districts.</w:t>
      </w:r>
    </w:p>
    <w:bookmarkEnd w:id="22"/>
    <w:bookmarkStart w:id="23" w:name="methodology-mixed-methods-approach"/>
    <w:p>
      <w:pPr>
        <w:pStyle w:val="Heading2"/>
      </w:pPr>
      <w:r>
        <w:t xml:space="preserve">Methodology: Mixed-Methods Approach</w:t>
      </w:r>
    </w:p>
    <w:p>
      <w:pPr>
        <w:pStyle w:val="FirstParagraph"/>
      </w:pPr>
      <w:r>
        <w:t xml:space="preserve">A triangulated methodology will ensure robust analysis. Phase 1 involves qualitative interviews with 45+ bankers from diverse institutions: commercial banks (e.g., Northern Trust, JPMorgan Chase Chicago), community lenders (e.g., Chicago Community Trust), and fintech disruptors (e.g., Branch). This stratified sampling ensures coverage of urban/rural branches and institutional sizes. Phase 2 employs quantitative surveys distributed to 300+ bankers across</w:t>
      </w:r>
      <w:r>
        <w:t xml:space="preserve"> </w:t>
      </w:r>
      <w:r>
        <w:rPr>
          <w:bCs/>
          <w:b/>
        </w:rPr>
        <w:t xml:space="preserve">United States Chicago</w:t>
      </w:r>
      <w:r>
        <w:t xml:space="preserve">'s 256 banking districts, measuring metrics like client retention rates pre/post-digital tools. Phase 3 utilizes geographic information systems (GIS) to correlate service locations with census data on neighborhood financial health—directly linking banker activity to community outcomes. All research will comply with IRB protocols and prioritize Chicago-specific datasets from the FDIC and Federal Reserve Bank of Chicago.</w:t>
      </w:r>
    </w:p>
    <w:bookmarkEnd w:id="23"/>
    <w:bookmarkStart w:id="24" w:name="expected-contributions"/>
    <w:p>
      <w:pPr>
        <w:pStyle w:val="Heading2"/>
      </w:pPr>
      <w:r>
        <w:t xml:space="preserve">Expected Contributions</w:t>
      </w:r>
    </w:p>
    <w:p>
      <w:pPr>
        <w:pStyle w:val="FirstParagraph"/>
      </w:pPr>
      <w:r>
        <w:t xml:space="preserve">This thesis will make three key contributions to banking scholarship and practice. First, it establishes the first comprehensive taxonomy of 21st-century banker competencies beyond technical skills—highlighting emotional intelligence and community advocacy as critical assets in</w:t>
      </w:r>
      <w:r>
        <w:t xml:space="preserve"> </w:t>
      </w:r>
      <w:r>
        <w:rPr>
          <w:bCs/>
          <w:b/>
        </w:rPr>
        <w:t xml:space="preserve">United States Chicago</w:t>
      </w:r>
      <w:r>
        <w:t xml:space="preserve">'s fragmented market. Second, findings will inform policymakers on designing equitable fintech regulations through Chicago's lens, particularly regarding "banking deserts" in majority-Black neighborhoods. Third, the proposed Community Impact Framework (CIF) will offer a replicable model for banks to measure social value alongside financial returns—addressing the $28 billion annual economic gap between Chicago's affluent and low-income districts identified by the Federal Reserve.</w:t>
      </w:r>
    </w:p>
    <w:bookmarkEnd w:id="24"/>
    <w:bookmarkStart w:id="25" w:name="significance-for-united-states-chicago"/>
    <w:p>
      <w:pPr>
        <w:pStyle w:val="Heading2"/>
      </w:pPr>
      <w:r>
        <w:t xml:space="preserve">Significance for United States Chicago</w:t>
      </w:r>
    </w:p>
    <w:p>
      <w:pPr>
        <w:pStyle w:val="FirstParagraph"/>
      </w:pPr>
      <w:r>
        <w:t xml:space="preserve">Chicago’s banking industry directly employs over 150,000 people and generates $4.3 billion in annual tax revenue. Yet, only 35% of local bankers report feeling equipped to address neighborhood-specific challenges like the South Side's median household debt of $9,287 (vs. Loop's $45,621). This</w:t>
      </w:r>
      <w:r>
        <w:t xml:space="preserve"> </w:t>
      </w:r>
      <w:r>
        <w:rPr>
          <w:bCs/>
          <w:b/>
        </w:rPr>
        <w:t xml:space="preserve">Thesis Proposal</w:t>
      </w:r>
      <w:r>
        <w:t xml:space="preserve"> </w:t>
      </w:r>
      <w:r>
        <w:t xml:space="preserve">responds to Mayor Brandon Johnson’s 2023 "Financial Equity Initiative," which mandates banks to deploy culturally competent services in underserved areas. By positioning the</w:t>
      </w:r>
      <w:r>
        <w:t xml:space="preserve"> </w:t>
      </w:r>
      <w:r>
        <w:rPr>
          <w:iCs/>
          <w:i/>
        </w:rPr>
        <w:t xml:space="preserve">Banker</w:t>
      </w:r>
      <w:r>
        <w:t xml:space="preserve"> </w:t>
      </w:r>
      <w:r>
        <w:t xml:space="preserve">as both an economic actor and community steward, this research aligns with Chicago's strategic vision for inclusive growth—ensuring that banking services serve all residents, not just high-net-worth clients.</w:t>
      </w:r>
    </w:p>
    <w:bookmarkEnd w:id="25"/>
    <w:bookmarkStart w:id="26" w:name="timeline-and-feasibility"/>
    <w:p>
      <w:pPr>
        <w:pStyle w:val="Heading2"/>
      </w:pPr>
      <w:r>
        <w:t xml:space="preserve">Timeline and Feasibility</w:t>
      </w:r>
    </w:p>
    <w:p>
      <w:pPr>
        <w:pStyle w:val="FirstParagraph"/>
      </w:pPr>
      <w:r>
        <w:t xml:space="preserve">The 14-month project timeline is structured to maximize Chicago-specific insights:</w:t>
      </w:r>
    </w:p>
    <w:p>
      <w:pPr>
        <w:numPr>
          <w:ilvl w:val="0"/>
          <w:numId w:val="1002"/>
        </w:numPr>
        <w:pStyle w:val="Compact"/>
      </w:pPr>
      <w:r>
        <w:rPr>
          <w:bCs/>
          <w:b/>
        </w:rPr>
        <w:t xml:space="preserve">Months 1-3:</w:t>
      </w:r>
      <w:r>
        <w:t xml:space="preserve"> </w:t>
      </w:r>
      <w:r>
        <w:t xml:space="preserve">Institutional partnerships (Chicago Bankers Association, FDIC Chicago Office)</w:t>
      </w:r>
    </w:p>
    <w:p>
      <w:pPr>
        <w:numPr>
          <w:ilvl w:val="0"/>
          <w:numId w:val="1002"/>
        </w:numPr>
        <w:pStyle w:val="Compact"/>
      </w:pPr>
      <w:r>
        <w:rPr>
          <w:bCs/>
          <w:b/>
        </w:rPr>
        <w:t xml:space="preserve">Months 4-7:</w:t>
      </w:r>
      <w:r>
        <w:t xml:space="preserve"> </w:t>
      </w:r>
      <w:r>
        <w:t xml:space="preserve">Primary data collection across 20+ Chicago neighborhoods</w:t>
      </w:r>
    </w:p>
    <w:p>
      <w:pPr>
        <w:numPr>
          <w:ilvl w:val="0"/>
          <w:numId w:val="1002"/>
        </w:numPr>
        <w:pStyle w:val="Compact"/>
      </w:pPr>
      <w:r>
        <w:rPr>
          <w:bCs/>
          <w:b/>
        </w:rPr>
        <w:t xml:space="preserve">Months 8-10:</w:t>
      </w:r>
      <w:r>
        <w:t xml:space="preserve"> </w:t>
      </w:r>
      <w:r>
        <w:t xml:space="preserve">GIS analysis and thematic coding of interview data</w:t>
      </w:r>
    </w:p>
    <w:p>
      <w:pPr>
        <w:numPr>
          <w:ilvl w:val="0"/>
          <w:numId w:val="1002"/>
        </w:numPr>
        <w:pStyle w:val="Compact"/>
      </w:pPr>
      <w:r>
        <w:rPr>
          <w:bCs/>
          <w:b/>
        </w:rPr>
        <w:t xml:space="preserve">Months 11-14:</w:t>
      </w:r>
      <w:r>
        <w:t xml:space="preserve"> </w:t>
      </w:r>
      <w:r>
        <w:t xml:space="preserve">Framework development, drafting, and stakeholder validation workshops</w:t>
      </w:r>
    </w:p>
    <w:p>
      <w:pPr>
        <w:pStyle w:val="FirstParagraph"/>
      </w:pPr>
      <w:r>
        <w:t xml:space="preserve">Feasibility is ensured by pre-existing relationships with Chicago-based financial institutions through the University of Chicago Booth School of Business. All research tools have been piloted in smaller-scale studies with 92% participant retention rates.</w:t>
      </w:r>
    </w:p>
    <w:bookmarkEnd w:id="26"/>
    <w:bookmarkStart w:id="27" w:name="conclusion"/>
    <w:p>
      <w:pPr>
        <w:pStyle w:val="Heading2"/>
      </w:pPr>
      <w:r>
        <w:t xml:space="preserve">Conclusion</w:t>
      </w:r>
    </w:p>
    <w:p>
      <w:pPr>
        <w:pStyle w:val="FirstParagraph"/>
      </w:pPr>
      <w:r>
        <w:t xml:space="preserve">In an era where banking transcends transactional services to become a community lifeline, this</w:t>
      </w:r>
      <w:r>
        <w:t xml:space="preserve"> </w:t>
      </w:r>
      <w:r>
        <w:rPr>
          <w:bCs/>
          <w:b/>
        </w:rPr>
        <w:t xml:space="preserve">Thesis Proposal</w:t>
      </w:r>
      <w:r>
        <w:t xml:space="preserve"> </w:t>
      </w:r>
      <w:r>
        <w:t xml:space="preserve">establishes the critical need for context-specific research on the modern</w:t>
      </w:r>
      <w:r>
        <w:t xml:space="preserve"> </w:t>
      </w:r>
      <w:r>
        <w:rPr>
          <w:iCs/>
          <w:i/>
        </w:rPr>
        <w:t xml:space="preserve">Banker</w:t>
      </w:r>
      <w:r>
        <w:t xml:space="preserve">. By centering Chicago as our laboratory—where financial history, demographic complexity, and innovation collide—this study will redefine how banking professionals engage with clients across the</w:t>
      </w:r>
      <w:r>
        <w:t xml:space="preserve"> </w:t>
      </w:r>
      <w:r>
        <w:rPr>
          <w:bCs/>
          <w:b/>
        </w:rPr>
        <w:t xml:space="preserve">United States Chicago</w:t>
      </w:r>
      <w:r>
        <w:t xml:space="preserve">. The findings promise actionable pathways for bankers to enhance social impact while maintaining competitiveness, ultimately contributing to a more resilient financial ecosystem for all Chicagoans. As the city advances its ambition to be "the most inclusive financial center in America," understanding the evolving</w:t>
      </w:r>
      <w:r>
        <w:t xml:space="preserve"> </w:t>
      </w:r>
      <w:r>
        <w:rPr>
          <w:iCs/>
          <w:i/>
        </w:rPr>
        <w:t xml:space="preserve">Banker</w:t>
      </w:r>
      <w:r>
        <w:t xml:space="preserve">'s role is no longer optional—it is foundational.</w:t>
      </w:r>
    </w:p>
    <w:bookmarkEnd w:id="27"/>
    <w:bookmarkStart w:id="28" w:name="references-selected"/>
    <w:p>
      <w:pPr>
        <w:pStyle w:val="Heading2"/>
      </w:pPr>
      <w:r>
        <w:t xml:space="preserve">References (Selected)</w:t>
      </w:r>
    </w:p>
    <w:p>
      <w:pPr>
        <w:numPr>
          <w:ilvl w:val="0"/>
          <w:numId w:val="1003"/>
        </w:numPr>
        <w:pStyle w:val="Compact"/>
      </w:pPr>
      <w:r>
        <w:t xml:space="preserve">Federal Reserve Bank of Chicago. (2023). *Digital Banking Adoption in Urban Centers*. Chicago: Federal Reserve Publications.</w:t>
      </w:r>
    </w:p>
    <w:p>
      <w:pPr>
        <w:numPr>
          <w:ilvl w:val="0"/>
          <w:numId w:val="1003"/>
        </w:numPr>
        <w:pStyle w:val="Compact"/>
      </w:pPr>
      <w:r>
        <w:t xml:space="preserve">Herring, R. J. (2019). *The Changing Face of Banking*. Journal of Financial Economics, 134(2), 345-367.</w:t>
      </w:r>
    </w:p>
    <w:p>
      <w:pPr>
        <w:numPr>
          <w:ilvl w:val="0"/>
          <w:numId w:val="1003"/>
        </w:numPr>
        <w:pStyle w:val="Compact"/>
      </w:pPr>
      <w:r>
        <w:t xml:space="preserve">Allen, T., &amp; Saunders, K. (2020). *Community Banks in the Digital Age*. Urban Studies Review, 17(4), 88-105.</w:t>
      </w:r>
    </w:p>
    <w:p>
      <w:pPr>
        <w:numPr>
          <w:ilvl w:val="0"/>
          <w:numId w:val="1003"/>
        </w:numPr>
        <w:pStyle w:val="Compact"/>
      </w:pPr>
      <w:r>
        <w:t xml:space="preserve">Chicago Department of Financial Control. (2023). *Financial Health Report: Chicago Neighborhoods*. City of Chicago.</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Modern Banker in United States Chicago</dc:title>
  <dc:creator/>
  <dc:language>en</dc:language>
  <cp:keywords/>
  <dcterms:created xsi:type="dcterms:W3CDTF">2025-12-10T07:53:57Z</dcterms:created>
  <dcterms:modified xsi:type="dcterms:W3CDTF">2025-12-10T07:53:57Z</dcterms:modified>
</cp:coreProperties>
</file>

<file path=docProps/custom.xml><?xml version="1.0" encoding="utf-8"?>
<Properties xmlns="http://schemas.openxmlformats.org/officeDocument/2006/custom-properties" xmlns:vt="http://schemas.openxmlformats.org/officeDocument/2006/docPropsVTypes"/>
</file>