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Tashkent,</w:t>
      </w:r>
      <w:r>
        <w:t xml:space="preserve"> </w:t>
      </w:r>
      <w:r>
        <w:t xml:space="preserve">Uzbekistan</w:t>
      </w:r>
    </w:p>
    <w:bookmarkStart w:id="29" w:name="X446318782af4188f5f6f2b0d0d84362cef278d9"/>
    <w:p>
      <w:pPr>
        <w:pStyle w:val="Heading1"/>
      </w:pPr>
      <w:r>
        <w:t xml:space="preserve">Thesis Proposal: The Evolving Role of a Banker in Tashkent, Uzbekistan's Financial Hub</w:t>
      </w:r>
    </w:p>
    <w:bookmarkStart w:id="20" w:name="introduction"/>
    <w:p>
      <w:pPr>
        <w:pStyle w:val="Heading2"/>
      </w:pPr>
      <w:r>
        <w:t xml:space="preserve">1. Introduction</w:t>
      </w:r>
    </w:p>
    <w:p>
      <w:pPr>
        <w:pStyle w:val="FirstParagraph"/>
      </w:pPr>
      <w:r>
        <w:t xml:space="preserve">In the dynamic economic landscape of Central Asia, Uzbekistan has embarked on an ambitious financial sector transformation journey under its "Strategy for Development of Financial Market until 2030." As the capital city and primary economic engine of this reform-driven nation, Tashkent stands at the forefront of banking innovation. This Thesis Proposal examines the critical role of a modern</w:t>
      </w:r>
      <w:r>
        <w:t xml:space="preserve"> </w:t>
      </w:r>
      <w:r>
        <w:rPr>
          <w:iCs/>
          <w:i/>
        </w:rPr>
        <w:t xml:space="preserve">Banker</w:t>
      </w:r>
      <w:r>
        <w:t xml:space="preserve"> </w:t>
      </w:r>
      <w:r>
        <w:t xml:space="preserve">within Uzbekistan's evolving financial ecosystem, with specific focus on Tashkent's unique socio-economic context. The research addresses a significant gap in current literature: while global banking studies abound, few analyze how</w:t>
      </w:r>
      <w:r>
        <w:t xml:space="preserve"> </w:t>
      </w:r>
      <w:r>
        <w:rPr>
          <w:iCs/>
          <w:i/>
        </w:rPr>
        <w:t xml:space="preserve">Banker</w:t>
      </w:r>
      <w:r>
        <w:t xml:space="preserve"> </w:t>
      </w:r>
      <w:r>
        <w:t xml:space="preserve">responsibilities adapt to emerging market realities in Uzbekistan—particularly the tension between traditional relationship-based finance and digital transformation. This study is timely, as Uzbekistan's banking sector has grown by 18% annually since 2019 (World Bank, 2023), with Tashkent absorbing over 65% of this expansion.</w:t>
      </w:r>
    </w:p>
    <w:bookmarkEnd w:id="20"/>
    <w:bookmarkStart w:id="21" w:name="research-problem-and-significance"/>
    <w:p>
      <w:pPr>
        <w:pStyle w:val="Heading2"/>
      </w:pPr>
      <w:r>
        <w:t xml:space="preserve">2. Research Problem and Significance</w:t>
      </w:r>
    </w:p>
    <w:p>
      <w:pPr>
        <w:pStyle w:val="FirstParagraph"/>
      </w:pPr>
      <w:r>
        <w:t xml:space="preserve">Despite Uzbekistan's financial liberalization efforts, a critical challenge persists: the traditional</w:t>
      </w:r>
      <w:r>
        <w:t xml:space="preserve"> </w:t>
      </w:r>
      <w:r>
        <w:rPr>
          <w:iCs/>
          <w:i/>
        </w:rPr>
        <w:t xml:space="preserve">Banker</w:t>
      </w:r>
      <w:r>
        <w:t xml:space="preserve"> </w:t>
      </w:r>
      <w:r>
        <w:t xml:space="preserve">role remains largely transactional in Tashkent's banking institutions, lagging behind global standards. Most bankers still focus on credit assessment and deposit management without integrating digital tools or sustainable finance principles. This disconnect impedes Uzbekistan's goal of achieving 40% financial inclusion by 2030 (National Bank of Uzbekistan). Moreover, regulatory changes—such as the 2021 Banking Law amendments mandating fintech integration—have created skill gaps among Tashkent-based bankers, risking economic efficiency. This Thesis Proposal directly addresses these issues by investigating how a modern</w:t>
      </w:r>
      <w:r>
        <w:t xml:space="preserve"> </w:t>
      </w:r>
      <w:r>
        <w:rPr>
          <w:iCs/>
          <w:i/>
        </w:rPr>
        <w:t xml:space="preserve">Banker</w:t>
      </w:r>
      <w:r>
        <w:t xml:space="preserve"> </w:t>
      </w:r>
      <w:r>
        <w:t xml:space="preserve">must evolve to serve both institutional objectives and national development priorities in Uzbekistan Tashkent.</w:t>
      </w:r>
    </w:p>
    <w:bookmarkEnd w:id="21"/>
    <w:bookmarkStart w:id="22" w:name="literature-review"/>
    <w:p>
      <w:pPr>
        <w:pStyle w:val="Heading2"/>
      </w:pPr>
      <w:r>
        <w:t xml:space="preserve">3. Literature Review</w:t>
      </w:r>
    </w:p>
    <w:p>
      <w:pPr>
        <w:pStyle w:val="FirstParagraph"/>
      </w:pPr>
      <w:r>
        <w:t xml:space="preserve">Existing studies on Central Asian banking (e.g., Gürsoy &amp; Kadiyali, 2020) emphasize macro-level reforms but overlook micro-level role adaptations. Research by the Asian Development Bank (2022) notes Uzbekistan's "digital readiness gap," yet fails to connect this to</w:t>
      </w:r>
      <w:r>
        <w:t xml:space="preserve"> </w:t>
      </w:r>
      <w:r>
        <w:rPr>
          <w:iCs/>
          <w:i/>
        </w:rPr>
        <w:t xml:space="preserve">Banker</w:t>
      </w:r>
      <w:r>
        <w:t xml:space="preserve"> </w:t>
      </w:r>
      <w:r>
        <w:t xml:space="preserve">competencies. Similarly, studies on Islamic banking in Tashkent (Nazarov, 2021) focus on product design without analyzing how a</w:t>
      </w:r>
      <w:r>
        <w:t xml:space="preserve"> </w:t>
      </w:r>
      <w:r>
        <w:rPr>
          <w:iCs/>
          <w:i/>
        </w:rPr>
        <w:t xml:space="preserve">Banker</w:t>
      </w:r>
      <w:r>
        <w:t xml:space="preserve">'s daily practices must shift. Crucially, no research examines the impact of Uzbekistan's new anti-money laundering regulations (effective 2023) on a</w:t>
      </w:r>
      <w:r>
        <w:t xml:space="preserve"> </w:t>
      </w:r>
      <w:r>
        <w:rPr>
          <w:iCs/>
          <w:i/>
        </w:rPr>
        <w:t xml:space="preserve">Banker</w:t>
      </w:r>
      <w:r>
        <w:t xml:space="preserve">'s ethical decision-making processes in Tashkent. This gap necessitates our study to bridge policy implementation with front-line banking practice.</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interrelated objectives:</w:t>
      </w:r>
    </w:p>
    <w:p>
      <w:pPr>
        <w:numPr>
          <w:ilvl w:val="0"/>
          <w:numId w:val="1001"/>
        </w:numPr>
        <w:pStyle w:val="Compact"/>
      </w:pPr>
      <w:r>
        <w:t xml:space="preserve">To map the current scope of a Tashkent-based banker's responsibilities across 10 major Uzbek financial institutions</w:t>
      </w:r>
    </w:p>
    <w:p>
      <w:pPr>
        <w:numPr>
          <w:ilvl w:val="0"/>
          <w:numId w:val="1001"/>
        </w:numPr>
        <w:pStyle w:val="Compact"/>
      </w:pPr>
      <w:r>
        <w:t xml:space="preserve">To identify barriers preventing bankers from adopting digital tools and sustainable finance frameworks in Uzbekistan</w:t>
      </w:r>
    </w:p>
    <w:p>
      <w:pPr>
        <w:numPr>
          <w:ilvl w:val="0"/>
          <w:numId w:val="1001"/>
        </w:numPr>
        <w:pStyle w:val="Compact"/>
      </w:pPr>
      <w:r>
        <w:t xml:space="preserve">To develop a competency model for future-oriented bankers tailored to Tashkent's market conditions</w:t>
      </w:r>
    </w:p>
    <w:p>
      <w:pPr>
        <w:pStyle w:val="FirstParagraph"/>
      </w:pPr>
      <w:r>
        <w:t xml:space="preserve">These objectives lead to the central research question: How can the role of a Banker in Uzbekistan Tashkent be redefined to accelerate financial inclusion while ensuring regulatory compliance and technological adoption?</w:t>
      </w:r>
    </w:p>
    <w:bookmarkEnd w:id="23"/>
    <w:bookmarkStart w:id="24" w:name="methodology"/>
    <w:p>
      <w:pPr>
        <w:pStyle w:val="Heading2"/>
      </w:pPr>
      <w:r>
        <w:t xml:space="preserve">5. Methodology</w:t>
      </w:r>
    </w:p>
    <w:p>
      <w:pPr>
        <w:pStyle w:val="FirstParagraph"/>
      </w:pPr>
      <w:r>
        <w:t xml:space="preserve">A mixed-methods approach will be employed over 18 months, designed for contextual relevance to Uzbekistan Tashkent:</w:t>
      </w:r>
    </w:p>
    <w:p>
      <w:pPr>
        <w:numPr>
          <w:ilvl w:val="0"/>
          <w:numId w:val="1002"/>
        </w:numPr>
        <w:pStyle w:val="Compact"/>
      </w:pPr>
      <w:r>
        <w:rPr>
          <w:bCs/>
          <w:b/>
        </w:rPr>
        <w:t xml:space="preserve">Phase 1 (Quantitative):</w:t>
      </w:r>
      <w:r>
        <w:t xml:space="preserve"> </w:t>
      </w:r>
      <w:r>
        <w:t xml:space="preserve">Survey of 300 bankers across Tashkent's top 20 banks (using stratified sampling by institution size). Variables include: digital tool proficiency, regulatory compliance experience, and financial inclusion metrics. This addresses the scarcity of empirical data on</w:t>
      </w:r>
      <w:r>
        <w:t xml:space="preserve"> </w:t>
      </w:r>
      <w:r>
        <w:rPr>
          <w:iCs/>
          <w:i/>
        </w:rPr>
        <w:t xml:space="preserve">Banker</w:t>
      </w:r>
      <w:r>
        <w:t xml:space="preserve"> </w:t>
      </w:r>
      <w:r>
        <w:t xml:space="preserve">capabilities in Uzbekistan.</w:t>
      </w:r>
    </w:p>
    <w:p>
      <w:pPr>
        <w:numPr>
          <w:ilvl w:val="0"/>
          <w:numId w:val="1002"/>
        </w:numPr>
        <w:pStyle w:val="Compact"/>
      </w:pPr>
      <w:r>
        <w:rPr>
          <w:bCs/>
          <w:b/>
        </w:rPr>
        <w:t xml:space="preserve">Phase 2 (Qualitative):</w:t>
      </w:r>
      <w:r>
        <w:t xml:space="preserve"> </w:t>
      </w:r>
      <w:r>
        <w:t xml:space="preserve">Semi-structured interviews with 30 senior bankers and Central Bank officials in Tashkent, plus focus groups with 5 fintech startups. This explores "why" behind skill gaps using grounded theory, vital for understanding Uzbekistan's unique cultural business context.</w:t>
      </w:r>
    </w:p>
    <w:p>
      <w:pPr>
        <w:numPr>
          <w:ilvl w:val="0"/>
          <w:numId w:val="1002"/>
        </w:numPr>
        <w:pStyle w:val="Compact"/>
      </w:pPr>
      <w:r>
        <w:rPr>
          <w:bCs/>
          <w:b/>
        </w:rPr>
        <w:t xml:space="preserve">Data Analysis:</w:t>
      </w:r>
      <w:r>
        <w:t xml:space="preserve"> </w:t>
      </w:r>
      <w:r>
        <w:t xml:space="preserve">Thematic analysis of qualitative data via NVivo; regression analysis of survey data to correlate competency levels with institutional performance (e.g., loan disbursement speed in Tashkent branches).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significant contributions:</w:t>
      </w:r>
    </w:p>
    <w:p>
      <w:pPr>
        <w:numPr>
          <w:ilvl w:val="0"/>
          <w:numId w:val="1003"/>
        </w:numPr>
        <w:pStyle w:val="Compact"/>
      </w:pPr>
      <w:r>
        <w:rPr>
          <w:bCs/>
          <w:b/>
        </w:rPr>
        <w:t xml:space="preserve">A Competency Framework:</w:t>
      </w:r>
      <w:r>
        <w:t xml:space="preserve"> </w:t>
      </w:r>
      <w:r>
        <w:t xml:space="preserve">A practical, culturally adaptive model for bankers in Uzbekistan Tashkent—prioritizing digital literacy (e.g., AI-driven credit scoring), regulatory navigation (aligned with Uzbekistan's new "Fintech Sandbox"), and ethical frameworks for emerging markets. This directly responds to the Central Bank of Uzbekistan’s 2023 training guidelines.</w:t>
      </w:r>
    </w:p>
    <w:p>
      <w:pPr>
        <w:numPr>
          <w:ilvl w:val="0"/>
          <w:numId w:val="1003"/>
        </w:numPr>
        <w:pStyle w:val="Compact"/>
      </w:pPr>
      <w:r>
        <w:rPr>
          <w:bCs/>
          <w:b/>
        </w:rPr>
        <w:t xml:space="preserve">Policy Recommendations:</w:t>
      </w:r>
      <w:r>
        <w:t xml:space="preserve"> </w:t>
      </w:r>
      <w:r>
        <w:t xml:space="preserve">Evidence-based proposals for reforming banker certification in Uzbekistan, including mandatory modules on sustainable finance (e.g., green loans) and cross-cultural client management—critical given Tashkent's diverse population of 3 million.</w:t>
      </w:r>
    </w:p>
    <w:p>
      <w:pPr>
        <w:numPr>
          <w:ilvl w:val="0"/>
          <w:numId w:val="1003"/>
        </w:numPr>
        <w:pStyle w:val="Compact"/>
      </w:pPr>
      <w:r>
        <w:rPr>
          <w:bCs/>
          <w:b/>
        </w:rPr>
        <w:t xml:space="preserve">Economic Impact Assessment:</w:t>
      </w:r>
      <w:r>
        <w:t xml:space="preserve"> </w:t>
      </w:r>
      <w:r>
        <w:t xml:space="preserve">Quantification of how evolved banker roles can accelerate Uzbekistan's financial inclusion target. For example, if 70% of Tashkent bankers adopt digital tools (as projected), rural branch outreach could increase by 25%, directly supporting the government’s "Digital Uzbekistan" initiative.</w:t>
      </w:r>
    </w:p>
    <w:bookmarkEnd w:id="25"/>
    <w:bookmarkStart w:id="26" w:name="relevance-to-uzbekistan-tashkent-context"/>
    <w:p>
      <w:pPr>
        <w:pStyle w:val="Heading2"/>
      </w:pPr>
      <w:r>
        <w:t xml:space="preserve">7. Relevance to Uzbekistan Tashkent Context</w:t>
      </w:r>
    </w:p>
    <w:p>
      <w:pPr>
        <w:pStyle w:val="FirstParagraph"/>
      </w:pPr>
      <w:r>
        <w:t xml:space="preserve">Tashkent's significance as the thesis focus is non-negotiable: it houses all 5 national commercial banks, 14 foreign bank branches (including UAE and Chinese institutions), and the Nasdaq-listed "Tashkent Stock Exchange." The city's rapid urbanization (4% annual growth) intensifies demands on bankers to balance traditional community trust with tech-driven services. This study explicitly centers Tashkent because:</w:t>
      </w:r>
    </w:p>
    <w:p>
      <w:pPr>
        <w:numPr>
          <w:ilvl w:val="0"/>
          <w:numId w:val="1004"/>
        </w:numPr>
        <w:pStyle w:val="Compact"/>
      </w:pPr>
      <w:r>
        <w:t xml:space="preserve">It reflects Uzbekistan’s broader financial sector development trajectory</w:t>
      </w:r>
    </w:p>
    <w:p>
      <w:pPr>
        <w:numPr>
          <w:ilvl w:val="0"/>
          <w:numId w:val="1004"/>
        </w:numPr>
        <w:pStyle w:val="Compact"/>
      </w:pPr>
      <w:r>
        <w:t xml:space="preserve">Bankers here face unique challenges: high remittance volumes (US$1.2B monthly), dual-currency transactions, and evolving Islamic finance adoption</w:t>
      </w:r>
    </w:p>
    <w:p>
      <w:pPr>
        <w:numPr>
          <w:ilvl w:val="0"/>
          <w:numId w:val="1004"/>
        </w:numPr>
        <w:pStyle w:val="Compact"/>
      </w:pPr>
      <w:r>
        <w:t xml:space="preserve">Policy experiments in Tashkent (e.g., "Digital Banking Hubs") offer real-world test cases</w:t>
      </w:r>
    </w:p>
    <w:bookmarkEnd w:id="26"/>
    <w:bookmarkStart w:id="27" w:name="X04679d46c859b449e484e3a7f3e6cef40601ce6"/>
    <w:p>
      <w:pPr>
        <w:pStyle w:val="Heading2"/>
      </w:pPr>
      <w:r>
        <w:t xml:space="preserve">8. Conclusion: The Path Forward for the Uzbek Banker</w:t>
      </w:r>
    </w:p>
    <w:p>
      <w:pPr>
        <w:pStyle w:val="FirstParagraph"/>
      </w:pPr>
      <w:r>
        <w:t xml:space="preserve">This Thesis Proposal argues that redefining the</w:t>
      </w:r>
      <w:r>
        <w:t xml:space="preserve"> </w:t>
      </w:r>
      <w:r>
        <w:rPr>
          <w:iCs/>
          <w:i/>
        </w:rPr>
        <w:t xml:space="preserve">Banker</w:t>
      </w:r>
      <w:r>
        <w:t xml:space="preserve">'s role is not merely operational—it is foundational to Uzbekistan's economic sovereignty. In Tashkent, where banking directly shapes national growth (contributing 14% to GDP), a modernized banker must transition from transaction processor to strategic financial navigator. By integrating global best practices with Uzbekistan's cultural and regulatory realities, this research will provide actionable insights for policymakers, banks like Unibank and KAPITALBANK Tashkent, and the next generation of bankers entering Uzbekistan's dynamic market. Ultimately, it seeks to position Tashkent as Central Asia’s benchmark for progressive banking—proving that a</w:t>
      </w:r>
      <w:r>
        <w:t xml:space="preserve"> </w:t>
      </w:r>
      <w:r>
        <w:rPr>
          <w:iCs/>
          <w:i/>
        </w:rPr>
        <w:t xml:space="preserve">Banker</w:t>
      </w:r>
      <w:r>
        <w:t xml:space="preserve"> </w:t>
      </w:r>
      <w:r>
        <w:t xml:space="preserve">in Uzbekistan is not just a service provider but an architect of inclusive growth.</w:t>
      </w:r>
    </w:p>
    <w:bookmarkEnd w:id="27"/>
    <w:bookmarkStart w:id="28" w:name="references-selected"/>
    <w:p>
      <w:pPr>
        <w:pStyle w:val="Heading2"/>
      </w:pPr>
      <w:r>
        <w:t xml:space="preserve">References (Selected)</w:t>
      </w:r>
    </w:p>
    <w:p>
      <w:pPr>
        <w:pStyle w:val="FirstParagraph"/>
      </w:pPr>
      <w:r>
        <w:t xml:space="preserve">National Bank of Uzbekistan. (2023). *Annual Report on Financial Sector Development*. Tashkent.</w:t>
      </w:r>
      <w:r>
        <w:br/>
      </w:r>
      <w:r>
        <w:t xml:space="preserve">World Bank. (2023). *Uzbekistan Economic Update: Digital Leap Forward*. Washington, DC.</w:t>
      </w:r>
      <w:r>
        <w:br/>
      </w:r>
      <w:r>
        <w:t xml:space="preserve">Gürsoy, M., &amp; Kadiyali, V. (2020). Banking in Emerging Central Asia: A Comparative Study. *Journal of Financial Transformation*, 48(3), 77-91.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Tashkent, Uzbekistan</dc:title>
  <dc:creator/>
  <dc:language>en</dc:language>
  <cp:keywords/>
  <dcterms:created xsi:type="dcterms:W3CDTF">2026-07-23T13:48:35Z</dcterms:created>
  <dcterms:modified xsi:type="dcterms:W3CDTF">2026-07-23T13:48:35Z</dcterms:modified>
</cp:coreProperties>
</file>

<file path=docProps/custom.xml><?xml version="1.0" encoding="utf-8"?>
<Properties xmlns="http://schemas.openxmlformats.org/officeDocument/2006/custom-properties" xmlns:vt="http://schemas.openxmlformats.org/officeDocument/2006/docPropsVTypes"/>
</file>