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Urban</w:t>
      </w:r>
      <w:r>
        <w:t xml:space="preserve"> </w:t>
      </w:r>
      <w:r>
        <w:t xml:space="preserve">Landscapes</w:t>
      </w:r>
      <w:r>
        <w:t xml:space="preserve"> </w:t>
      </w:r>
      <w:r>
        <w:t xml:space="preserve">of</w:t>
      </w:r>
      <w:r>
        <w:t xml:space="preserve"> </w:t>
      </w:r>
      <w:r>
        <w:t xml:space="preserve">Moscow</w:t>
      </w:r>
    </w:p>
    <w:bookmarkStart w:id="28" w:name="X9e2b8be822d3105d1ad6626816ed15694abb8a3"/>
    <w:p>
      <w:pPr>
        <w:pStyle w:val="Heading1"/>
      </w:pPr>
      <w:r>
        <w:t xml:space="preserve">Thesis Proposal: Assessing Ecological Resilience of Urban Green Spaces in Moscow through a Biologist's Lens</w:t>
      </w:r>
    </w:p>
    <w:bookmarkStart w:id="20" w:name="i.-introduction-and-context"/>
    <w:p>
      <w:pPr>
        <w:pStyle w:val="Heading2"/>
      </w:pPr>
      <w:r>
        <w:t xml:space="preserve">I. Introduction and Context</w:t>
      </w:r>
    </w:p>
    <w:p>
      <w:pPr>
        <w:pStyle w:val="FirstParagraph"/>
      </w:pPr>
      <w:r>
        <w:t xml:space="preserve">The rapid urbanization trajectory of Russia's capital, Moscow, presents unprecedented challenges for biodiversity conservation. As the world's most populous city with over 13 million residents, Moscow has undergone dramatic landscape transformations since the Soviet era, converting natural habitats into built environments while simultaneously creating extensive urban green corridors. This thesis proposes a comprehensive ecological study focused on evaluating how contemporary urban development pressures impact native species assemblages within Moscow's critical green infrastructure. The research emerges from a pressing need to develop evidence-based conservation strategies for Russia's largest city, where biodiversity loss threatens both ecological stability and human well-being in this strategically significant national capital.</w:t>
      </w:r>
    </w:p>
    <w:bookmarkEnd w:id="20"/>
    <w:bookmarkStart w:id="21" w:name="ii.-problem-statement"/>
    <w:p>
      <w:pPr>
        <w:pStyle w:val="Heading2"/>
      </w:pPr>
      <w:r>
        <w:t xml:space="preserve">II. Problem Statement</w:t>
      </w:r>
    </w:p>
    <w:p>
      <w:pPr>
        <w:pStyle w:val="FirstParagraph"/>
      </w:pPr>
      <w:r>
        <w:t xml:space="preserve">Despite Moscow's extensive park systems (including the 37,000-hectare Moscow City Green Belt), current conservation approaches remain largely reactive rather than proactive. A critical gap exists in understanding how specific urban stressors—such as microclimate alterations from concrete structures, light pollution, air quality degradation from vehicle emissions (Moscow's traffic produces over 15 million tons of CO2 annually), and invasive species proliferation—affect native biota at ecosystem levels. This research directly addresses the urgent need for Moscow to align its urban planning with global biodiversity targets, particularly in light of Russia's 2030 National Biodiversity Strategy commitments. As a future biologist operating within Russia's scientific framework, I will develop methodologies applicable to other Russian megacities facing similar pressures.</w:t>
      </w:r>
    </w:p>
    <w:bookmarkEnd w:id="21"/>
    <w:bookmarkStart w:id="22" w:name="iii.-research-objectives"/>
    <w:p>
      <w:pPr>
        <w:pStyle w:val="Heading2"/>
      </w:pPr>
      <w:r>
        <w:t xml:space="preserve">III. Research Objectives</w:t>
      </w:r>
    </w:p>
    <w:p>
      <w:pPr>
        <w:numPr>
          <w:ilvl w:val="0"/>
          <w:numId w:val="1001"/>
        </w:numPr>
        <w:pStyle w:val="Compact"/>
      </w:pPr>
      <w:r>
        <w:t xml:space="preserve">To map and quantify biodiversity metrics (species richness, abundance, functional diversity) across three distinct Moscow urban gradients: central historic zones (e.g., within the Garden Ring), suburban development corridors (e.g., Solntsevo district), and peripheral protected areas (e.g., Moscow Oblast state reserves).</w:t>
      </w:r>
    </w:p>
    <w:p>
      <w:pPr>
        <w:numPr>
          <w:ilvl w:val="0"/>
          <w:numId w:val="1001"/>
        </w:numPr>
        <w:pStyle w:val="Compact"/>
      </w:pPr>
      <w:r>
        <w:t xml:space="preserve">To analyze correlations between specific urban stressors and observed biodiversity patterns using GIS spatial analysis integrated with field-collected ecological data.</w:t>
      </w:r>
    </w:p>
    <w:p>
      <w:pPr>
        <w:numPr>
          <w:ilvl w:val="0"/>
          <w:numId w:val="1001"/>
        </w:numPr>
        <w:pStyle w:val="Compact"/>
      </w:pPr>
      <w:r>
        <w:t xml:space="preserve">To develop a predictive model for identifying "biodiversity hotspots" within Moscow's green infrastructure that could serve as conservation priority zones for the Moscow Department of Nature Management.</w:t>
      </w:r>
    </w:p>
    <w:bookmarkEnd w:id="22"/>
    <w:bookmarkStart w:id="23" w:name="iv.-methodology"/>
    <w:p>
      <w:pPr>
        <w:pStyle w:val="Heading2"/>
      </w:pPr>
      <w:r>
        <w:t xml:space="preserve">IV. Methodology</w:t>
      </w:r>
    </w:p>
    <w:p>
      <w:pPr>
        <w:pStyle w:val="FirstParagraph"/>
      </w:pPr>
      <w:r>
        <w:t xml:space="preserve">As a biologist conducting fieldwork in Moscow, this research employs a mixed-methods approach validated through Russian ecological protocols:</w:t>
      </w:r>
    </w:p>
    <w:p>
      <w:pPr>
        <w:pStyle w:val="BodyText"/>
      </w:pPr>
      <w:r>
        <w:rPr>
          <w:bCs/>
          <w:b/>
        </w:rPr>
        <w:t xml:space="preserve">Field Sampling (Moscow-Specific):</w:t>
      </w:r>
      <w:r>
        <w:t xml:space="preserve"> </w:t>
      </w:r>
      <w:r>
        <w:t xml:space="preserve">Seasonal transect surveys across 15 designated sites spanning 3 urban intensity gradients. Sampling includes:</w:t>
      </w:r>
    </w:p>
    <w:p>
      <w:pPr>
        <w:numPr>
          <w:ilvl w:val="0"/>
          <w:numId w:val="1002"/>
        </w:numPr>
        <w:pStyle w:val="Compact"/>
      </w:pPr>
      <w:r>
        <w:t xml:space="preserve">Bird point counts (following Moscow Ornithological Society protocols)</w:t>
      </w:r>
    </w:p>
    <w:p>
      <w:pPr>
        <w:numPr>
          <w:ilvl w:val="0"/>
          <w:numId w:val="1002"/>
        </w:numPr>
        <w:pStyle w:val="Compact"/>
      </w:pPr>
      <w:r>
        <w:t xml:space="preserve">Invertebrate pitfall trapping in soil microhabitats</w:t>
      </w:r>
    </w:p>
    <w:p>
      <w:pPr>
        <w:numPr>
          <w:ilvl w:val="0"/>
          <w:numId w:val="1002"/>
        </w:numPr>
        <w:pStyle w:val="Compact"/>
      </w:pPr>
      <w:r>
        <w:t xml:space="preserve">Plant community composition assessments using quadrat sampling</w:t>
      </w:r>
    </w:p>
    <w:p>
      <w:pPr>
        <w:pStyle w:val="FirstParagraph"/>
      </w:pPr>
      <w:r>
        <w:rPr>
          <w:bCs/>
          <w:b/>
        </w:rPr>
        <w:t xml:space="preserve">Environmental Data Collection:</w:t>
      </w:r>
      <w:r>
        <w:br/>
      </w:r>
      <w:r>
        <w:t xml:space="preserve">Continuous monitoring of:</w:t>
      </w:r>
    </w:p>
    <w:p>
      <w:pPr>
        <w:numPr>
          <w:ilvl w:val="0"/>
          <w:numId w:val="1003"/>
        </w:numPr>
        <w:pStyle w:val="Compact"/>
      </w:pPr>
      <w:r>
        <w:t xml:space="preserve">Air quality (PM2.5, NO2) via portable sensors at each site (aligned with Moscow's 2023 Environmental Monitoring Program)</w:t>
      </w:r>
    </w:p>
    <w:p>
      <w:pPr>
        <w:numPr>
          <w:ilvl w:val="0"/>
          <w:numId w:val="1003"/>
        </w:numPr>
        <w:pStyle w:val="Compact"/>
      </w:pPr>
      <w:r>
        <w:t xml:space="preserve">Nocturnal light intensity (using lux meters along key corridors)</w:t>
      </w:r>
    </w:p>
    <w:p>
      <w:pPr>
        <w:numPr>
          <w:ilvl w:val="0"/>
          <w:numId w:val="1003"/>
        </w:numPr>
        <w:pStyle w:val="Compact"/>
      </w:pPr>
      <w:r>
        <w:t xml:space="preserve">Soil pH and organic content from standard Russian soil analysis protocols</w:t>
      </w:r>
    </w:p>
    <w:p>
      <w:pPr>
        <w:pStyle w:val="FirstParagraph"/>
      </w:pPr>
      <w:r>
        <w:rPr>
          <w:bCs/>
          <w:b/>
        </w:rPr>
        <w:t xml:space="preserve">Data Integration:</w:t>
      </w:r>
      <w:r>
        <w:br/>
      </w:r>
      <w:r>
        <w:t xml:space="preserve">Statistical analysis using R programming with spatial modeling (GIS) to correlate ecological data with urban development indices. All methodology adheres to the Russian Federation's Federal Law "On Environmental Protection" and collaborates with Moscow State University's Department of Ecology.</w:t>
      </w:r>
    </w:p>
    <w:bookmarkEnd w:id="23"/>
    <w:bookmarkStart w:id="24" w:name="v.-significance-for-russia-moscow"/>
    <w:p>
      <w:pPr>
        <w:pStyle w:val="Heading2"/>
      </w:pPr>
      <w:r>
        <w:t xml:space="preserve">V. Significance for Russia Moscow</w:t>
      </w:r>
    </w:p>
    <w:p>
      <w:pPr>
        <w:pStyle w:val="FirstParagraph"/>
      </w:pPr>
      <w:r>
        <w:t xml:space="preserve">This thesis delivers critical value for both scientific advancement and practical application within Russia's urban context:</w:t>
      </w:r>
    </w:p>
    <w:p>
      <w:pPr>
        <w:numPr>
          <w:ilvl w:val="0"/>
          <w:numId w:val="1004"/>
        </w:numPr>
        <w:pStyle w:val="Compact"/>
      </w:pPr>
      <w:r>
        <w:rPr>
          <w:bCs/>
          <w:b/>
        </w:rPr>
        <w:t xml:space="preserve">Policy Impact:</w:t>
      </w:r>
      <w:r>
        <w:t xml:space="preserve"> </w:t>
      </w:r>
      <w:r>
        <w:t xml:space="preserve">The findings will directly inform the Moscow Government's 2035 Urban Development Plan, providing empirical data to justify conservation funding allocation. As Russia moves toward its UN Biodiversity Targets, this research offers a replicable framework for other Russian cities like St. Petersburg and Novosibirsk.</w:t>
      </w:r>
    </w:p>
    <w:p>
      <w:pPr>
        <w:numPr>
          <w:ilvl w:val="0"/>
          <w:numId w:val="1004"/>
        </w:numPr>
        <w:pStyle w:val="Compact"/>
      </w:pPr>
      <w:r>
        <w:rPr>
          <w:bCs/>
          <w:b/>
        </w:rPr>
        <w:t xml:space="preserve">Scientific Contribution:</w:t>
      </w:r>
      <w:r>
        <w:t xml:space="preserve"> </w:t>
      </w:r>
      <w:r>
        <w:t xml:space="preserve">Fills a gap in Eastern European urban ecology literature—most studies focus on Western European cities. This work establishes Moscow as a model case study in the Global South urban biodiversity discourse, contributing to Russia's scientific standing internationally.</w:t>
      </w:r>
    </w:p>
    <w:p>
      <w:pPr>
        <w:numPr>
          <w:ilvl w:val="0"/>
          <w:numId w:val="1004"/>
        </w:numPr>
        <w:pStyle w:val="Compact"/>
      </w:pPr>
      <w:r>
        <w:rPr>
          <w:bCs/>
          <w:b/>
        </w:rPr>
        <w:t xml:space="preserve">Practical Application:</w:t>
      </w:r>
      <w:r>
        <w:t xml:space="preserve"> </w:t>
      </w:r>
      <w:r>
        <w:t xml:space="preserve">The developed predictive model will become a tool for Moscow's Department of Urban Planning, enabling biologists and city planners to co-design "green infrastructure" with ecological resilience as a core metric rather than an afterthought.</w:t>
      </w:r>
    </w:p>
    <w:bookmarkEnd w:id="24"/>
    <w:bookmarkStart w:id="25" w:name="vi.-timeline-18-month-framework"/>
    <w:p>
      <w:pPr>
        <w:pStyle w:val="Heading2"/>
      </w:pPr>
      <w:r>
        <w:t xml:space="preserve">VI. Timeline (18-Month Framework)</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Moscow-Specific Activities</w:t>
            </w:r>
          </w:p>
        </w:tc>
      </w:tr>
      <w:tr>
        <w:tc>
          <w:tcPr/>
          <w:p>
            <w:pPr>
              <w:pStyle w:val="Compact"/>
              <w:jc w:val="left"/>
            </w:pPr>
            <w:r>
              <w:t xml:space="preserve">Literature Review &amp; Protocol Design</w:t>
            </w:r>
          </w:p>
        </w:tc>
        <w:tc>
          <w:tcPr/>
          <w:p>
            <w:pPr>
              <w:pStyle w:val="Compact"/>
              <w:jc w:val="left"/>
            </w:pPr>
            <w:r>
              <w:t xml:space="preserve">1-3</w:t>
            </w:r>
          </w:p>
        </w:tc>
        <w:tc>
          <w:tcPr/>
          <w:p>
            <w:pPr>
              <w:pStyle w:val="Compact"/>
              <w:jc w:val="left"/>
            </w:pPr>
            <w:r>
              <w:t xml:space="preserve">Analyze Russian ecological databases; Consult with Moscow State University ecologists; Finalize sampling sites approved by Moscow City Administration</w:t>
            </w:r>
          </w:p>
        </w:tc>
      </w:tr>
      <w:tr>
        <w:tc>
          <w:tcPr/>
          <w:p>
            <w:pPr>
              <w:pStyle w:val="Compact"/>
              <w:jc w:val="left"/>
            </w:pPr>
            <w:r>
              <w:t xml:space="preserve">Field Data Collection</w:t>
            </w:r>
          </w:p>
        </w:tc>
        <w:tc>
          <w:tcPr/>
          <w:p>
            <w:pPr>
              <w:pStyle w:val="Compact"/>
              <w:jc w:val="left"/>
            </w:pPr>
            <w:r>
              <w:t xml:space="preserve">4-12</w:t>
            </w:r>
          </w:p>
        </w:tc>
        <w:tc>
          <w:tcPr/>
          <w:p>
            <w:pPr>
              <w:pStyle w:val="Compact"/>
              <w:jc w:val="left"/>
            </w:pPr>
            <w:r>
              <w:t xml:space="preserve">Seasonal fieldwork across all 15 sites (spring/summer/fall); Coordinate with Moscow's Environmental Monitoring Network for data sharing</w:t>
            </w:r>
          </w:p>
        </w:tc>
      </w:tr>
      <w:tr>
        <w:tc>
          <w:tcPr/>
          <w:p>
            <w:pPr>
              <w:pStyle w:val="Compact"/>
              <w:jc w:val="left"/>
            </w:pPr>
            <w:r>
              <w:t xml:space="preserve">Data Analysis &amp; Modeling</w:t>
            </w:r>
          </w:p>
        </w:tc>
        <w:tc>
          <w:tcPr/>
          <w:p>
            <w:pPr>
              <w:pStyle w:val="Compact"/>
              <w:jc w:val="left"/>
            </w:pPr>
            <w:r>
              <w:t xml:space="preserve">13-15</w:t>
            </w:r>
          </w:p>
        </w:tc>
        <w:tc>
          <w:tcPr/>
          <w:p>
            <w:pPr>
              <w:pStyle w:val="Compact"/>
              <w:jc w:val="left"/>
            </w:pPr>
            <w:r>
              <w:t xml:space="preserve">National Institute of Ecology in Moscow to validate statistical methods; Develop GIS-based conservation tool</w:t>
            </w:r>
          </w:p>
        </w:tc>
      </w:tr>
      <w:tr>
        <w:tc>
          <w:tcPr/>
          <w:p>
            <w:pPr>
              <w:pStyle w:val="Compact"/>
              <w:jc w:val="left"/>
            </w:pPr>
            <w:r>
              <w:t xml:space="preserve">Dissertation Writing &amp; Stakeholder Engagement</w:t>
            </w:r>
          </w:p>
        </w:tc>
        <w:tc>
          <w:tcPr/>
          <w:p>
            <w:pPr>
              <w:pStyle w:val="Compact"/>
              <w:jc w:val="left"/>
            </w:pPr>
            <w:r>
              <w:t xml:space="preserve">16-18</w:t>
            </w:r>
          </w:p>
        </w:tc>
        <w:tc>
          <w:tcPr/>
          <w:p>
            <w:pPr>
              <w:pStyle w:val="Compact"/>
              <w:jc w:val="left"/>
            </w:pPr>
            <w:r>
              <w:t xml:space="preserve">Presentation to Moscow Government's Urban Development Committee; Draft policy brief for Russian Ministry of Natural Resources</w:t>
            </w:r>
          </w:p>
        </w:tc>
      </w:tr>
    </w:tbl>
    <w:bookmarkEnd w:id="25"/>
    <w:bookmarkStart w:id="26" w:name="X3dbe89afdc2221b31ae36303c9ae6ff94bbbca8"/>
    <w:p>
      <w:pPr>
        <w:pStyle w:val="Heading2"/>
      </w:pPr>
      <w:r>
        <w:t xml:space="preserve">VII. Expected Outcomes and Academic Contribution</w:t>
      </w:r>
    </w:p>
    <w:p>
      <w:pPr>
        <w:pStyle w:val="FirstParagraph"/>
      </w:pPr>
      <w:r>
        <w:t xml:space="preserve">Anticipating that urban stressors will correlate strongly with reduced native species richness (particularly for pollinators and soil invertebrates), this research will:</w:t>
      </w:r>
    </w:p>
    <w:p>
      <w:pPr>
        <w:numPr>
          <w:ilvl w:val="0"/>
          <w:numId w:val="1005"/>
        </w:numPr>
        <w:pStyle w:val="Compact"/>
      </w:pPr>
      <w:r>
        <w:t xml:space="preserve">Quantify the "biodiversity debt" accumulating in Moscow's green infrastructure</w:t>
      </w:r>
    </w:p>
    <w:p>
      <w:pPr>
        <w:numPr>
          <w:ilvl w:val="0"/>
          <w:numId w:val="1005"/>
        </w:numPr>
        <w:pStyle w:val="Compact"/>
      </w:pPr>
      <w:r>
        <w:t xml:space="preserve">Create a standardized monitoring protocol adaptable to Russian federal environmental legislation</w:t>
      </w:r>
    </w:p>
    <w:p>
      <w:pPr>
        <w:numPr>
          <w:ilvl w:val="0"/>
          <w:numId w:val="1005"/>
        </w:numPr>
        <w:pStyle w:val="Compact"/>
      </w:pPr>
      <w:r>
        <w:t xml:space="preserve">Generate a spatial decision-support tool for Moscow urban planners that integrates biological data with infrastructure planning—a first for Russia's capital city</w:t>
      </w:r>
    </w:p>
    <w:p>
      <w:pPr>
        <w:pStyle w:val="FirstParagraph"/>
      </w:pPr>
      <w:r>
        <w:t xml:space="preserve">As a biologist trained within Russia's academic system, this thesis bridges the gap between theoretical ecology and practical urban governance in Moscow. It positions Russian scientists at the forefront of addressing one of the 21st century's most critical challenges: sustaining life within human-dominated landscapes. The work will be published in leading Russian journals (e.g.,</w:t>
      </w:r>
      <w:r>
        <w:t xml:space="preserve"> </w:t>
      </w:r>
      <w:r>
        <w:rPr>
          <w:iCs/>
          <w:i/>
        </w:rPr>
        <w:t xml:space="preserve">Ekologiya</w:t>
      </w:r>
      <w:r>
        <w:t xml:space="preserve">) and presented at the International Conference on Urban Ecology in Moscow, directly engaging with Russia's scientific community.</w:t>
      </w:r>
    </w:p>
    <w:bookmarkEnd w:id="26"/>
    <w:bookmarkStart w:id="27" w:name="viii.-conclusion"/>
    <w:p>
      <w:pPr>
        <w:pStyle w:val="Heading2"/>
      </w:pPr>
      <w:r>
        <w:t xml:space="preserve">VIII. Conclusion</w:t>
      </w:r>
    </w:p>
    <w:p>
      <w:pPr>
        <w:pStyle w:val="FirstParagraph"/>
      </w:pPr>
      <w:r>
        <w:t xml:space="preserve">This Thesis Proposal establishes a vital research pathway for biologists operating within Moscow's unique urban ecosystem. By centering the investigation on concrete policy applications and leveraging Russia's ecological data infrastructure, it transforms biodiversity science from academic exercise into actionable strategy for the world's 10th largest city. The success of this research will not only contribute to Moscow's environmental legacy but also provide a replicable model for urban conservation across Russia—a nation where cities are both ecological challenges and conservation opportunities. As I embark on this journey as an emerging biologist in Russia, this work embodies the critical role science must play in securing sustainable futures for our shared urban environments.</w:t>
      </w:r>
    </w:p>
    <w:p>
      <w:pPr>
        <w:pStyle w:val="BodyText"/>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Urban Landscapes of Moscow</dc:title>
  <dc:creator/>
  <dc:language>en</dc:language>
  <cp:keywords/>
  <dcterms:created xsi:type="dcterms:W3CDTF">2025-12-10T16:40:35Z</dcterms:created>
  <dcterms:modified xsi:type="dcterms:W3CDTF">2025-12-10T16:40:35Z</dcterms:modified>
</cp:coreProperties>
</file>

<file path=docProps/custom.xml><?xml version="1.0" encoding="utf-8"?>
<Properties xmlns="http://schemas.openxmlformats.org/officeDocument/2006/custom-properties" xmlns:vt="http://schemas.openxmlformats.org/officeDocument/2006/docPropsVTypes"/>
</file>