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Biodiversity</w:t>
      </w:r>
      <w:r>
        <w:t xml:space="preserve"> </w:t>
      </w:r>
      <w:r>
        <w:t xml:space="preserve">Assessment</w:t>
      </w:r>
      <w:r>
        <w:t xml:space="preserve"> </w:t>
      </w:r>
      <w:r>
        <w:t xml:space="preserve">in</w:t>
      </w:r>
      <w:r>
        <w:t xml:space="preserve"> </w:t>
      </w:r>
      <w:r>
        <w:t xml:space="preserve">Neva</w:t>
      </w:r>
      <w:r>
        <w:t xml:space="preserve"> </w:t>
      </w:r>
      <w:r>
        <w:t xml:space="preserve">Delta</w:t>
      </w:r>
      <w:r>
        <w:t xml:space="preserve"> </w:t>
      </w:r>
      <w:r>
        <w:t xml:space="preserve">Wetlands,</w:t>
      </w:r>
      <w:r>
        <w:t xml:space="preserve"> </w:t>
      </w:r>
      <w:r>
        <w:t xml:space="preserve">St.</w:t>
      </w:r>
      <w:r>
        <w:t xml:space="preserve"> </w:t>
      </w:r>
      <w:r>
        <w:t xml:space="preserve">Petersburg,</w:t>
      </w:r>
      <w:r>
        <w:t xml:space="preserve"> </w:t>
      </w:r>
      <w:r>
        <w:t xml:space="preserve">Russia</w:t>
      </w:r>
    </w:p>
    <w:bookmarkStart w:id="29" w:name="X1674ea7074bbc9067e19204a36aa46036551a2e"/>
    <w:p>
      <w:pPr>
        <w:pStyle w:val="Heading1"/>
      </w:pPr>
      <w:r>
        <w:t xml:space="preserve">Thesis Proposal: Ecological Monitoring and Conservation Strategies for Endangered Species in the Neva River Delta Ecosystem of Russia Saint Petersburg</w:t>
      </w:r>
    </w:p>
    <w:p>
      <w:pPr>
        <w:pStyle w:val="FirstParagraph"/>
      </w:pPr>
      <w:r>
        <w:rPr>
          <w:bCs/>
          <w:b/>
        </w:rPr>
        <w:t xml:space="preserve">Submitted to:</w:t>
      </w:r>
      <w:r>
        <w:t xml:space="preserve"> </w:t>
      </w:r>
      <w:r>
        <w:t xml:space="preserve">Department of Biological Sciences, Saint Petersburg State University</w:t>
      </w:r>
      <w:r>
        <w:br/>
      </w:r>
      <w:r>
        <w:rPr>
          <w:bCs/>
          <w:b/>
        </w:rPr>
        <w:t xml:space="preserve">Potential Supervisor:</w:t>
      </w:r>
      <w:r>
        <w:t xml:space="preserve"> </w:t>
      </w:r>
      <w:r>
        <w:t xml:space="preserve">Professor Elena V. Petrova, Head of Aquatic Ecology Research Group</w:t>
      </w:r>
      <w:r>
        <w:br/>
      </w:r>
      <w:r>
        <w:rPr>
          <w:bCs/>
          <w:b/>
        </w:rPr>
        <w:t xml:space="preserve">Date:</w:t>
      </w:r>
      <w:r>
        <w:t xml:space="preserve"> </w:t>
      </w:r>
      <w:r>
        <w:t xml:space="preserve">October 26, 2023</w:t>
      </w:r>
    </w:p>
    <w:bookmarkStart w:id="20" w:name="X57c8e55e16fcbce6c1c2d2491977febd7143604"/>
    <w:p>
      <w:pPr>
        <w:pStyle w:val="Heading2"/>
      </w:pPr>
      <w:r>
        <w:t xml:space="preserve">I. Introduction: Context and Problem Statement</w:t>
      </w:r>
    </w:p>
    <w:p>
      <w:pPr>
        <w:pStyle w:val="FirstParagraph"/>
      </w:pPr>
      <w:r>
        <w:t xml:space="preserve">The rapidly expanding urban landscape of Russia Saint Petersburg poses unprecedented challenges to the region's ecological integrity, particularly within the critically endangered Neva River Delta wetlands – a UNESCO-recognized biodiversity hotspot. As a prospective Biologist specializing in conservation ecology, I propose this thesis to address urgent gaps in our understanding of species adaptation and anthropogenic impacts within this unique ecosystem. The Neva Delta serves as a vital migratory corridor for over 200 bird species and supports rare amphibians like the</w:t>
      </w:r>
      <w:r>
        <w:t xml:space="preserve"> </w:t>
      </w:r>
      <w:r>
        <w:rPr>
          <w:iCs/>
          <w:i/>
        </w:rPr>
        <w:t xml:space="preserve">Lissotriton vulgaris</w:t>
      </w:r>
      <w:r>
        <w:t xml:space="preserve"> </w:t>
      </w:r>
      <w:r>
        <w:t xml:space="preserve">(smooth newt) population, yet these habitats face accelerated degradation from industrial runoff, climate-induced water level fluctuations, and urban encroachment. This Thesis Proposal outlines a comprehensive ecological assessment to inform evidence-based conservation policy for one of Russia's most vulnerable natural assets.</w:t>
      </w:r>
    </w:p>
    <w:bookmarkEnd w:id="20"/>
    <w:bookmarkStart w:id="21" w:name="X5f8d6038d5b20cddc3617b6625a7d99de92f983"/>
    <w:p>
      <w:pPr>
        <w:pStyle w:val="Heading2"/>
      </w:pPr>
      <w:r>
        <w:t xml:space="preserve">II. Research Significance: Why St. Petersburg Matters</w:t>
      </w:r>
    </w:p>
    <w:p>
      <w:pPr>
        <w:pStyle w:val="FirstParagraph"/>
      </w:pPr>
      <w:r>
        <w:t xml:space="preserve">St. Petersburg’s position as Russia’s cultural and scientific capital places it at the forefront of environmental stewardship challenges in Northern Europe. The Neva Delta’s ecological collapse would have cascading effects on regional water quality, flood mitigation systems protecting 5 million residents, and Russia's commitments under the Convention on Biological Diversity (CBD). Current monitoring efforts lack long-term data integration across hydrological, botanical, and zoological disciplines – a critical deficiency for a Biologist operating in this complex urban-wildland interface. This research directly responds to the Saint Petersburg City Administration’s 2023 Environmental Strategy prioritizing "delta ecosystem restoration" as a core urban sustainability initiative.</w:t>
      </w:r>
    </w:p>
    <w:bookmarkEnd w:id="21"/>
    <w:bookmarkStart w:id="22" w:name="iii.-research-objectives"/>
    <w:p>
      <w:pPr>
        <w:pStyle w:val="Heading2"/>
      </w:pPr>
      <w:r>
        <w:t xml:space="preserve">III. Research Objectives</w:t>
      </w:r>
    </w:p>
    <w:p>
      <w:pPr>
        <w:numPr>
          <w:ilvl w:val="0"/>
          <w:numId w:val="1001"/>
        </w:numPr>
        <w:pStyle w:val="Compact"/>
      </w:pPr>
      <w:r>
        <w:t xml:space="preserve">To map spatial and temporal changes in key indicator species populations (birds, amphibians, macroinvertebrates) across 15 designated Neva Delta monitoring sites using GIS-based habitat analysis.</w:t>
      </w:r>
    </w:p>
    <w:p>
      <w:pPr>
        <w:numPr>
          <w:ilvl w:val="0"/>
          <w:numId w:val="1001"/>
        </w:numPr>
        <w:pStyle w:val="Compact"/>
      </w:pPr>
      <w:r>
        <w:t xml:space="preserve">To quantify pollutant accumulation (heavy metals, microplastics) in soil/sediment samples from industrial versus protected zones.</w:t>
      </w:r>
    </w:p>
    <w:p>
      <w:pPr>
        <w:numPr>
          <w:ilvl w:val="0"/>
          <w:numId w:val="1001"/>
        </w:numPr>
        <w:pStyle w:val="Compact"/>
      </w:pPr>
      <w:r>
        <w:t xml:space="preserve">To develop an adaptive management framework integrating traditional ecological knowledge of local fisher communities with modern conservation biology principles for Russia Saint Petersburg's delta regions.</w:t>
      </w:r>
    </w:p>
    <w:p>
      <w:pPr>
        <w:numPr>
          <w:ilvl w:val="0"/>
          <w:numId w:val="1001"/>
        </w:numPr>
        <w:pStyle w:val="Compact"/>
      </w:pPr>
      <w:r>
        <w:t xml:space="preserve">To establish baseline metrics for the Russian Ministry of Natural Resources' new "Urban Wetland Conservation Index" targeting implementation by 2026.</w:t>
      </w:r>
    </w:p>
    <w:bookmarkEnd w:id="22"/>
    <w:bookmarkStart w:id="23" w:name="Xdb6dc9bc3ee33b4189b1a6b1ed6171d88e70182"/>
    <w:p>
      <w:pPr>
        <w:pStyle w:val="Heading2"/>
      </w:pPr>
      <w:r>
        <w:t xml:space="preserve">IV. Methodology: Integrated Ecological Assessment</w:t>
      </w:r>
    </w:p>
    <w:p>
      <w:pPr>
        <w:pStyle w:val="FirstParagraph"/>
      </w:pPr>
      <w:r>
        <w:t xml:space="preserve">As an emerging Biologist, this project employs a multi-scale approach blending field ecology with environmental chemistry:</w:t>
      </w:r>
    </w:p>
    <w:p>
      <w:pPr>
        <w:numPr>
          <w:ilvl w:val="0"/>
          <w:numId w:val="1002"/>
        </w:numPr>
        <w:pStyle w:val="Compact"/>
      </w:pPr>
      <w:r>
        <w:rPr>
          <w:bCs/>
          <w:b/>
        </w:rPr>
        <w:t xml:space="preserve">Field Surveys:</w:t>
      </w:r>
      <w:r>
        <w:t xml:space="preserve"> </w:t>
      </w:r>
      <w:r>
        <w:t xml:space="preserve">Seasonal monitoring (spring-fall 2024) of 30 transects using mist-netting for birds and dip-netting for invertebrates, following IUCN protocol standards. All data will be logged via mobile GIS applications calibrated to the Saint Petersburg Cartographic System.</w:t>
      </w:r>
    </w:p>
    <w:p>
      <w:pPr>
        <w:numPr>
          <w:ilvl w:val="0"/>
          <w:numId w:val="1002"/>
        </w:numPr>
        <w:pStyle w:val="Compact"/>
      </w:pPr>
      <w:r>
        <w:rPr>
          <w:bCs/>
          <w:b/>
        </w:rPr>
        <w:t xml:space="preserve">Environmental Analysis:</w:t>
      </w:r>
      <w:r>
        <w:t xml:space="preserve"> </w:t>
      </w:r>
      <w:r>
        <w:t xml:space="preserve">Sediment sampling from 25 locations analyzed at the University’s Environmental Chemistry Lab for Cd, Pb, and microplastic content using atomic absorption spectroscopy and FTIR microscopy.</w:t>
      </w:r>
    </w:p>
    <w:p>
      <w:pPr>
        <w:numPr>
          <w:ilvl w:val="0"/>
          <w:numId w:val="1002"/>
        </w:numPr>
        <w:pStyle w:val="Compact"/>
      </w:pPr>
      <w:r>
        <w:rPr>
          <w:bCs/>
          <w:b/>
        </w:rPr>
        <w:t xml:space="preserve">Community Engagement:</w:t>
      </w:r>
      <w:r>
        <w:t xml:space="preserve"> </w:t>
      </w:r>
      <w:r>
        <w:t xml:space="preserve">Collaborative workshops with Saint Petersburg’s Society of Naturalists to document oral histories on species decline, bridging indigenous knowledge with scientific data collection.</w:t>
      </w:r>
    </w:p>
    <w:bookmarkEnd w:id="23"/>
    <w:bookmarkStart w:id="24" w:name="X2d777a78337da416989c23d58661f49624f25e7"/>
    <w:p>
      <w:pPr>
        <w:pStyle w:val="Heading2"/>
      </w:pPr>
      <w:r>
        <w:t xml:space="preserve">V. Expected Outcomes and Academic Contribution</w:t>
      </w:r>
    </w:p>
    <w:p>
      <w:pPr>
        <w:pStyle w:val="FirstParagraph"/>
      </w:pPr>
      <w:r>
        <w:t xml:space="preserve">This Thesis Proposal anticipates three transformative contributions:</w:t>
      </w:r>
    </w:p>
    <w:p>
      <w:pPr>
        <w:numPr>
          <w:ilvl w:val="0"/>
          <w:numId w:val="1003"/>
        </w:numPr>
        <w:pStyle w:val="Compact"/>
      </w:pPr>
      <w:r>
        <w:t xml:space="preserve">A high-resolution spatial model predicting species loss under 10 climate change scenarios (RCP 4.5/8.5), directly supporting the Saint Petersburg Climate Action Plan’s ecological adaptation targets.</w:t>
      </w:r>
    </w:p>
    <w:p>
      <w:pPr>
        <w:numPr>
          <w:ilvl w:val="0"/>
          <w:numId w:val="1003"/>
        </w:numPr>
        <w:pStyle w:val="Compact"/>
      </w:pPr>
      <w:r>
        <w:t xml:space="preserve">Development of a field-deployable "Delta Health Index" toolkit for Russian environmental agencies, reducing monitoring costs by an estimated 40% versus current methods.</w:t>
      </w:r>
    </w:p>
    <w:p>
      <w:pPr>
        <w:numPr>
          <w:ilvl w:val="0"/>
          <w:numId w:val="1003"/>
        </w:numPr>
        <w:pStyle w:val="Compact"/>
      </w:pPr>
      <w:r>
        <w:t xml:space="preserve">Policy briefs for the Russian Federal Agency for Water Resources incorporating Neva Delta case studies into national wetland conservation frameworks – a critical need identified in the 2021 Moscow Declaration on Urban Biodiversity.</w:t>
      </w:r>
    </w:p>
    <w:bookmarkEnd w:id="24"/>
    <w:bookmarkStart w:id="25" w:name="vi.-alignment-with-regional-priorities"/>
    <w:p>
      <w:pPr>
        <w:pStyle w:val="Heading2"/>
      </w:pPr>
      <w:r>
        <w:t xml:space="preserve">VI. Alignment with Regional Priorities</w:t>
      </w:r>
    </w:p>
    <w:p>
      <w:pPr>
        <w:pStyle w:val="FirstParagraph"/>
      </w:pPr>
      <w:r>
        <w:t xml:space="preserve">This research resonates deeply with Saint Petersburg’s strategic vision for "Ecological Modernization" as outlined in the 2030 Development Concept. Crucially, it addresses the city’s top environmental priority: restoring wetlands to absorb 15% more stormwater runoff by 2035 (currently at &lt;7%). The proposed methodology leverages Saint Petersburg State University’s newly established Neva Delta Field Station – a facility funded through the Russian Ministry of Science and Higher Education in partnership with the European Union’s LIFE Program. This institutional support ensures sustained access to Russia's most advanced wetland monitoring infrastructure.</w:t>
      </w:r>
    </w:p>
    <w:bookmarkEnd w:id="25"/>
    <w:bookmarkStart w:id="26" w:name="vii.-timeline-and-resources"/>
    <w:p>
      <w:pPr>
        <w:pStyle w:val="Heading2"/>
      </w:pPr>
      <w:r>
        <w:t xml:space="preserve">VII.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Literature Review &amp; Site Calibration</w:t>
            </w:r>
          </w:p>
        </w:tc>
        <w:tc>
          <w:tcPr/>
          <w:p>
            <w:pPr>
              <w:pStyle w:val="Compact"/>
              <w:jc w:val="left"/>
            </w:pPr>
            <w:r>
              <w:t xml:space="preserve">Jan–Mar 2024</w:t>
            </w:r>
          </w:p>
        </w:tc>
        <w:tc>
          <w:tcPr/>
          <w:p>
            <w:pPr>
              <w:pStyle w:val="Compact"/>
              <w:jc w:val="left"/>
            </w:pPr>
            <w:r>
              <w:t xml:space="preserve">Critical analysis of 150+ Russian ecological studies; GIS site mapping</w:t>
            </w:r>
          </w:p>
        </w:tc>
      </w:tr>
      <w:tr>
        <w:tc>
          <w:tcPr/>
          <w:p>
            <w:pPr>
              <w:pStyle w:val="Compact"/>
              <w:jc w:val="left"/>
            </w:pPr>
            <w:r>
              <w:t xml:space="preserve">Baseline Field Data Collection</w:t>
            </w:r>
          </w:p>
        </w:tc>
        <w:tc>
          <w:tcPr/>
          <w:p>
            <w:pPr>
              <w:pStyle w:val="Compact"/>
              <w:jc w:val="left"/>
            </w:pPr>
            <w:r>
              <w:t xml:space="preserve">Apr–Oct 2024</w:t>
            </w:r>
          </w:p>
        </w:tc>
        <w:tc>
          <w:tcPr/>
          <w:p>
            <w:pPr>
              <w:pStyle w:val="Compact"/>
              <w:jc w:val="left"/>
            </w:pPr>
            <w:r>
              <w:t xml:space="preserve">Sediment/organism datasets; bioindicator health metrics</w:t>
            </w:r>
          </w:p>
        </w:tc>
      </w:tr>
      <w:tr>
        <w:tc>
          <w:tcPr/>
          <w:p>
            <w:pPr>
              <w:pStyle w:val="Compact"/>
              <w:jc w:val="left"/>
            </w:pPr>
            <w:r>
              <w:t xml:space="preserve">Laboratory Analysis &amp; Modeling</w:t>
            </w:r>
          </w:p>
        </w:tc>
        <w:tc>
          <w:tcPr/>
          <w:p>
            <w:pPr>
              <w:pStyle w:val="Compact"/>
              <w:jc w:val="left"/>
            </w:pPr>
            <w:r>
              <w:t xml:space="preserve">Nov 2024–Feb 2025</w:t>
            </w:r>
          </w:p>
        </w:tc>
        <w:tc>
          <w:tcPr/>
          <w:p>
            <w:pPr>
              <w:pStyle w:val="Compact"/>
              <w:jc w:val="left"/>
            </w:pPr>
            <w:r>
              <w:t xml:space="preserve">Pollution correlation models; Delta Health Index prototype</w:t>
            </w:r>
          </w:p>
        </w:tc>
      </w:tr>
      <w:tr>
        <w:tc>
          <w:tcPr/>
          <w:p>
            <w:pPr>
              <w:pStyle w:val="Compact"/>
              <w:jc w:val="left"/>
            </w:pPr>
            <w:r>
              <w:t xml:space="preserve">Policy Integration &amp; Thesis Writing</w:t>
            </w:r>
          </w:p>
        </w:tc>
        <w:tc>
          <w:tcPr/>
          <w:p>
            <w:pPr>
              <w:pStyle w:val="Compact"/>
              <w:jc w:val="left"/>
            </w:pPr>
            <w:r>
              <w:t xml:space="preserve">Mar–Jun 2025</w:t>
            </w:r>
          </w:p>
        </w:tc>
        <w:tc>
          <w:tcPr/>
          <w:p>
            <w:pPr>
              <w:pStyle w:val="Compact"/>
              <w:jc w:val="left"/>
            </w:pPr>
            <w:r>
              <w:t xml:space="preserve">Cabinet-approved policy briefs; doctoral thesis submission</w:t>
            </w:r>
          </w:p>
        </w:tc>
      </w:tr>
    </w:tbl>
    <w:bookmarkEnd w:id="26"/>
    <w:bookmarkStart w:id="27" w:name="X57813f68a431995c54c9fd30eca1cec46aa8896"/>
    <w:p>
      <w:pPr>
        <w:pStyle w:val="Heading2"/>
      </w:pPr>
      <w:r>
        <w:t xml:space="preserve">VIII. Conclusion: A Call for Action in Russia Saint Petersburg</w:t>
      </w:r>
    </w:p>
    <w:p>
      <w:pPr>
        <w:pStyle w:val="FirstParagraph"/>
      </w:pPr>
      <w:r>
        <w:t xml:space="preserve">As a Biologist committed to the future of Russia’s natural heritage, this Thesis Proposal represents not merely academic inquiry but urgent ecological stewardship. The Neva River Delta exemplifies the intricate relationship between urban development and biodiversity conservation that defines modern environmental challenges in Northern Europe. By anchoring this research within Saint Petersburg’s civic infrastructure and leveraging Russian scientific networks, we move beyond theoretical ecology toward actionable solutions that protect both endangered species and the city's resilience to climate change. This work positions Russia Saint Petersburg as a global model for integrating urban planning with biodiversity conservation – proving that ecological integrity is not a constraint on progress but its essential foundation.</w:t>
      </w:r>
    </w:p>
    <w:bookmarkEnd w:id="27"/>
    <w:bookmarkStart w:id="28" w:name="references"/>
    <w:p>
      <w:pPr>
        <w:pStyle w:val="Heading2"/>
      </w:pPr>
      <w:r>
        <w:t xml:space="preserve">References</w:t>
      </w:r>
    </w:p>
    <w:p>
      <w:pPr>
        <w:numPr>
          <w:ilvl w:val="0"/>
          <w:numId w:val="1004"/>
        </w:numPr>
        <w:pStyle w:val="Compact"/>
      </w:pPr>
      <w:r>
        <w:t xml:space="preserve">Petrova, E.V. (2021). "Urban Wetlands in Northern Climates: The St. Petersburg Paradox." *Journal of Environmental Management*, 301, 113789.</w:t>
      </w:r>
    </w:p>
    <w:p>
      <w:pPr>
        <w:numPr>
          <w:ilvl w:val="0"/>
          <w:numId w:val="1004"/>
        </w:numPr>
        <w:pStyle w:val="Compact"/>
      </w:pPr>
      <w:r>
        <w:t xml:space="preserve">Ministry of Natural Resources of Russia. (2023). *National Strategy for Biodiversity Conservation*. Moscow: Government Publishing House.</w:t>
      </w:r>
    </w:p>
    <w:p>
      <w:pPr>
        <w:numPr>
          <w:ilvl w:val="0"/>
          <w:numId w:val="1004"/>
        </w:numPr>
        <w:pStyle w:val="Compact"/>
      </w:pPr>
      <w:r>
        <w:t xml:space="preserve">St. Petersburg City Administration. (2023). *Environmental Action Plan 2035*. Section 4: Delta Ecosystem Restoration.</w:t>
      </w:r>
    </w:p>
    <w:p>
      <w:pPr>
        <w:numPr>
          <w:ilvl w:val="0"/>
          <w:numId w:val="1004"/>
        </w:numPr>
        <w:pStyle w:val="Compact"/>
      </w:pPr>
      <w:r>
        <w:t xml:space="preserve">UNESCO. (2022). *Ramsar Sites in the Baltic Region: Ecological Assessment Guidelines*. World Heritage Series No. 47.</w:t>
      </w:r>
    </w:p>
    <w:p>
      <w:pPr>
        <w:pStyle w:val="FirstParagraph"/>
      </w:pPr>
      <w:r>
        <w:rPr>
          <w:bCs/>
          <w:b/>
        </w:rPr>
        <w:t xml:space="preserve">Word Count:</w:t>
      </w:r>
      <w:r>
        <w:t xml:space="preserve"> </w:t>
      </w:r>
      <w:r>
        <w:t xml:space="preserve">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Biodiversity Assessment in Neva Delta Wetlands, St. Petersburg, Russia</dc:title>
  <dc:creator/>
  <dc:language>en</dc:language>
  <cp:keywords/>
  <dcterms:created xsi:type="dcterms:W3CDTF">2026-07-23T23:15:59Z</dcterms:created>
  <dcterms:modified xsi:type="dcterms:W3CDTF">2026-07-23T23:15:59Z</dcterms:modified>
</cp:coreProperties>
</file>

<file path=docProps/custom.xml><?xml version="1.0" encoding="utf-8"?>
<Properties xmlns="http://schemas.openxmlformats.org/officeDocument/2006/custom-properties" xmlns:vt="http://schemas.openxmlformats.org/officeDocument/2006/docPropsVTypes"/>
</file>