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Istanbul's</w:t>
      </w:r>
      <w:r>
        <w:t xml:space="preserve"> </w:t>
      </w:r>
      <w:r>
        <w:t xml:space="preserve">Ecological</w:t>
      </w:r>
      <w:r>
        <w:t xml:space="preserve"> </w:t>
      </w:r>
      <w:r>
        <w:t xml:space="preserve">Corridors</w:t>
      </w:r>
    </w:p>
    <w:bookmarkStart w:id="29" w:name="Xb62b0c9f8858482f79a7b6a275870586a03654e"/>
    <w:p>
      <w:pPr>
        <w:pStyle w:val="Heading1"/>
      </w:pPr>
      <w:r>
        <w:t xml:space="preserve">Thesis Proposal: Assessing Urban Biodiversity and Pollution Impacts on Freshwater Ecosystems in Istanbul, Turkey</w:t>
      </w:r>
    </w:p>
    <w:bookmarkStart w:id="20" w:name="X62e540d681ad57209bf3f7a29a0b96db6487dd0"/>
    <w:p>
      <w:pPr>
        <w:pStyle w:val="Heading2"/>
      </w:pPr>
      <w:r>
        <w:t xml:space="preserve">Introduction: The Urgent Need for Localized Biological Research in Istanbul</w:t>
      </w:r>
    </w:p>
    <w:p>
      <w:pPr>
        <w:pStyle w:val="FirstParagraph"/>
      </w:pPr>
      <w:r>
        <w:t xml:space="preserve">The rapid urbanization of Istanbul, Turkey's largest metropolitan area with over 16 million inhabitants, presents unprecedented challenges for ecological conservation. As a city uniquely spanning two continents and encompassing diverse habitats—from the Bosphorus Strait to the Marmara Sea coastlines and inland wetlands—Istanbul serves as a critical case study for understanding human-wildlife coexistence in megacities. This thesis proposal outlines a comprehensive research plan for an aspiring Biologist specializing in urban ecology, directly addressing the urgent environmental pressures facing Turkey's ecological heritage. The study will focus on freshwater ecosystems within Istanbul's expanding urban footprint, where habitat fragmentation and anthropogenic pollution threaten endemic species and ecosystem services vital to the city's sustainability.</w:t>
      </w:r>
    </w:p>
    <w:bookmarkEnd w:id="20"/>
    <w:bookmarkStart w:id="21" w:name="X218a9e9e84c7dbc40dd295e22e079bc0916d270"/>
    <w:p>
      <w:pPr>
        <w:pStyle w:val="Heading2"/>
      </w:pPr>
      <w:r>
        <w:t xml:space="preserve">Problem Statement: Biodiversity Loss at the Urban-Rural Interface in Istanbul</w:t>
      </w:r>
    </w:p>
    <w:p>
      <w:pPr>
        <w:pStyle w:val="FirstParagraph"/>
      </w:pPr>
      <w:r>
        <w:t xml:space="preserve">Current conservation frameworks in Turkey often overlook the specific needs of urban-adjacent ecosystems. While global studies on urban biodiversity exist, there is a significant gap in localized research for Istanbul's unique context. The city's expansion has led to the degradation of critical freshwater habitats such as Küçükçekmece Lake and the Armutlu Peninsula wetlands—key refuges for migratory birds and native fish species like</w:t>
      </w:r>
      <w:r>
        <w:t xml:space="preserve"> </w:t>
      </w:r>
      <w:r>
        <w:rPr>
          <w:iCs/>
          <w:i/>
        </w:rPr>
        <w:t xml:space="preserve">Alburnus chalcoides</w:t>
      </w:r>
      <w:r>
        <w:t xml:space="preserve">. Pollution from untreated sewage, plastic waste, and industrial runoff (notably along the Golden Horn) creates toxic conditions that disrupt aquatic food webs. Without data-driven conservation strategies developed specifically for Istanbul's ecological realities, Turkey risks irreversible loss of biodiversity in its most populated region. This research directly addresses this gap by positioning the Biologist as a proactive agent in preserving Istanbul's natural capital.</w:t>
      </w:r>
    </w:p>
    <w:bookmarkEnd w:id="21"/>
    <w:bookmarkStart w:id="22" w:name="research-objectives-and-hypotheses"/>
    <w:p>
      <w:pPr>
        <w:pStyle w:val="Heading2"/>
      </w:pPr>
      <w:r>
        <w:t xml:space="preserve">Research Objectives and Hypotheses</w:t>
      </w:r>
    </w:p>
    <w:p>
      <w:pPr>
        <w:numPr>
          <w:ilvl w:val="0"/>
          <w:numId w:val="1001"/>
        </w:numPr>
        <w:pStyle w:val="Compact"/>
      </w:pPr>
      <w:r>
        <w:t xml:space="preserve">To map and quantify biodiversity (macroinvertebrates, fish, avian species) across three urban-rural gradient sites: highly developed districts (e.g., Kadıköy), transitional zones (e.g., Çamlıca Hills wetlands), and relatively undisturbed reserves (e.g., İmralı Island).</w:t>
      </w:r>
    </w:p>
    <w:p>
      <w:pPr>
        <w:numPr>
          <w:ilvl w:val="0"/>
          <w:numId w:val="1001"/>
        </w:numPr>
        <w:pStyle w:val="Compact"/>
      </w:pPr>
      <w:r>
        <w:t xml:space="preserve">To analyze correlations between pollution markers (heavy metals, microplastics, nutrient levels) and species diversity metrics.</w:t>
      </w:r>
    </w:p>
    <w:p>
      <w:pPr>
        <w:numPr>
          <w:ilvl w:val="0"/>
          <w:numId w:val="1001"/>
        </w:numPr>
        <w:pStyle w:val="Compact"/>
      </w:pPr>
      <w:r>
        <w:t xml:space="preserve">To evaluate the efficacy of existing Istanbul municipal conservation measures (e.g., Bosphorus Protection Plan) through field-based ecological indicators.</w:t>
      </w:r>
    </w:p>
    <w:bookmarkEnd w:id="22"/>
    <w:bookmarkStart w:id="23" w:name="X8dfdbfe8f3fd01e283f7887c47711d533ef4a91"/>
    <w:p>
      <w:pPr>
        <w:pStyle w:val="Heading2"/>
      </w:pPr>
      <w:r>
        <w:t xml:space="preserve">Methodology: Fieldwork-Driven Research for Istanbul Context</w:t>
      </w:r>
    </w:p>
    <w:p>
      <w:pPr>
        <w:pStyle w:val="FirstParagraph"/>
      </w:pPr>
      <w:r>
        <w:t xml:space="preserve">This study will employ a mixed-methods approach, emphasizing hands-on biological fieldwork essential for a Biologist's skill development in Turkey. Water and sediment samples will be collected quarterly from 15 strategically selected sites across Istanbul's freshwater systems during 2025–2026. Standardized protocols (following Turkish Ministry of Environment and Forestry guidelines) will quantify pollutants via portable spectrometers and laboratory analysis at Boğaziçi University’s Environmental Science Lab. Simultaneously, biodiversity surveys will document species presence using eDNA sampling, bird point counts, and fish trawls—techniques directly applicable to Turkey's environmental monitoring needs. Statistical analyses (R software) will test the central hypothesis:</w:t>
      </w:r>
      <w:r>
        <w:t xml:space="preserve"> </w:t>
      </w:r>
      <w:r>
        <w:rPr>
          <w:iCs/>
          <w:i/>
        </w:rPr>
        <w:t xml:space="preserve">Urban expansion intensity correlates significantly with reduced native species richness and increased pollution tolerance indices in Istanbul's freshwater ecosystems</w:t>
      </w:r>
      <w:r>
        <w:t xml:space="preserve">. Crucially, all fieldwork will comply with Turkish research ethics protocols approved by Yeditepe University’s Institutional Review Board.</w:t>
      </w:r>
    </w:p>
    <w:bookmarkEnd w:id="23"/>
    <w:bookmarkStart w:id="24" w:name="Xe16333ace148e57a137d69a307a6d37345bb5c0"/>
    <w:p>
      <w:pPr>
        <w:pStyle w:val="Heading2"/>
      </w:pPr>
      <w:r>
        <w:t xml:space="preserve">Significance for Turkey and Istanbul: Beyond Academic Contribution</w:t>
      </w:r>
    </w:p>
    <w:p>
      <w:pPr>
        <w:pStyle w:val="FirstParagraph"/>
      </w:pPr>
      <w:r>
        <w:t xml:space="preserve">This research transcends theoretical biology by delivering actionable data for Istanbul’s municipal planning. Findings will be presented to the Istanbul Metropolitan Municipality (IMM) Environmental Directorate, directly informing their 2030 Urban Green Strategy. For example, identifying critical species like the endangered Anatolian Spined Loach (</w:t>
      </w:r>
      <w:r>
        <w:rPr>
          <w:iCs/>
          <w:i/>
        </w:rPr>
        <w:t xml:space="preserve">Capoeta angorae</w:t>
      </w:r>
      <w:r>
        <w:t xml:space="preserve">) in specific waterways could lead to targeted protection zones. The study also addresses Turkey’s commitment to the UN Sustainable Development Goals (SDG 15) and national biodiversity strategy, positioning the Biologist as a key contributor to national environmental policy. Critically, this work builds on Turkey’s recent advancements in ecological research—such as the Istanbul Bird Life Project—and fills a void in urban ecology within Turkish academia.</w:t>
      </w:r>
    </w:p>
    <w:bookmarkEnd w:id="24"/>
    <w:bookmarkStart w:id="25" w:name="feasibility-and-local-collaboration"/>
    <w:p>
      <w:pPr>
        <w:pStyle w:val="Heading2"/>
      </w:pPr>
      <w:r>
        <w:t xml:space="preserve">Feasibility and Local Collaboration</w:t>
      </w:r>
    </w:p>
    <w:p>
      <w:pPr>
        <w:pStyle w:val="FirstParagraph"/>
      </w:pPr>
      <w:r>
        <w:t xml:space="preserve">The proposal leverages Istanbul's unique research infrastructure. Partnerships with the Turkish Biological Society (TBS) and Turkey’s National Biodiversity Observatory ensure access to field sites, equipment, and expertise. The Biologist will receive training in advanced biomonitoring techniques at the TÜBİTAK Marmara Research Center—Turkey’s premier science institution—which aligns with national initiatives to strengthen scientific capacity. Logistical support from Istanbul University's Faculty of Science (Department of Biology) guarantees seamless access to permits and local ecological knowledge, addressing common hurdles in Turkish environmental research. A preliminary pilot study conducted in April 2024 at Küçükçekmece Lake confirmed the feasibility of data collection protocols within Istanbul’s regulatory environment.</w:t>
      </w:r>
    </w:p>
    <w:bookmarkEnd w:id="25"/>
    <w:bookmarkStart w:id="26" w:name="timeline-and-expected-outcomes"/>
    <w:p>
      <w:pPr>
        <w:pStyle w:val="Heading2"/>
      </w:pPr>
      <w:r>
        <w:t xml:space="preserve">Timeline and Expected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pPr>
          </w:p>
        </w:tc>
      </w:tr>
      <w:tr>
        <w:tc>
          <w:tcPr/>
          <w:p>
            <w:pPr>
              <w:pStyle w:val="Compact"/>
              <w:jc w:val="left"/>
            </w:pPr>
            <w:r>
              <w:t xml:space="preserve">Preparation &amp; Ethics Approval</w:t>
            </w:r>
          </w:p>
        </w:tc>
        <w:tc>
          <w:tcPr/>
          <w:p>
            <w:pPr>
              <w:pStyle w:val="Compact"/>
              <w:jc w:val="left"/>
            </w:pPr>
            <w:r>
              <w:t xml:space="preserve">Jan–Mar 2025</w:t>
            </w:r>
          </w:p>
        </w:tc>
        <w:tc>
          <w:tcPr/>
          <w:p>
            <w:pPr>
              <w:pStyle w:val="Compact"/>
              <w:jc w:val="left"/>
            </w:pPr>
            <w:r>
              <w:t xml:space="preserve">Literature review; TUBITAK/IMM permits; site mapping</w:t>
            </w:r>
          </w:p>
        </w:tc>
        <w:tc>
          <w:tcPr/>
          <w:p>
            <w:pPr>
              <w:pStyle w:val="Compact"/>
            </w:pPr>
          </w:p>
        </w:tc>
      </w:tr>
      <w:tr>
        <w:tc>
          <w:tcPr/>
          <w:p>
            <w:pPr>
              <w:pStyle w:val="Compact"/>
              <w:jc w:val="left"/>
            </w:pPr>
            <w:r>
              <w:t xml:space="preserve">Data Collection (Fieldwork)</w:t>
            </w:r>
          </w:p>
        </w:tc>
        <w:tc>
          <w:tcPr/>
          <w:p>
            <w:pPr>
              <w:pStyle w:val="Compact"/>
              <w:jc w:val="left"/>
            </w:pPr>
            <w:r>
              <w:t xml:space="preserve">Apr–Dec 2025</w:t>
            </w:r>
          </w:p>
        </w:tc>
        <w:tc>
          <w:tcPr/>
          <w:p>
            <w:pPr>
              <w:pStyle w:val="Compact"/>
              <w:jc w:val="left"/>
            </w:pPr>
            <w:r>
              <w:t xml:space="preserve">Quarterly sampling across all sites; pollution &amp; biodiversity metrics</w:t>
            </w:r>
          </w:p>
        </w:tc>
        <w:tc>
          <w:tcPr/>
          <w:p>
            <w:pPr>
              <w:pStyle w:val="Compact"/>
            </w:pPr>
          </w:p>
        </w:tc>
      </w:tr>
      <w:tr>
        <w:tc>
          <w:tcPr/>
          <w:p>
            <w:pPr>
              <w:pStyle w:val="Compact"/>
              <w:jc w:val="left"/>
            </w:pPr>
            <w:r>
              <w:t xml:space="preserve">Data Analysis &amp; Drafting</w:t>
            </w:r>
          </w:p>
        </w:tc>
        <w:tc>
          <w:tcPr/>
          <w:p>
            <w:pPr>
              <w:pStyle w:val="Compact"/>
              <w:jc w:val="left"/>
            </w:pPr>
            <w:r>
              <w:t xml:space="preserve">Jan–Sep 2026</w:t>
            </w:r>
          </w:p>
        </w:tc>
        <w:tc>
          <w:tcPr>
            <w:gridSpan w:val="2"/>
          </w:tcPr>
          <w:p>
            <w:pPr>
              <w:pStyle w:val="Compact"/>
              <w:jc w:val="left"/>
            </w:pPr>
            <w:r>
              <w:t xml:space="preserve">Statistical analysis; report development for IMM</w:t>
            </w:r>
          </w:p>
        </w:tc>
      </w:tr>
      <w:tr>
        <w:tc>
          <w:tcPr/>
          <w:p>
            <w:pPr>
              <w:pStyle w:val="Compact"/>
              <w:jc w:val="left"/>
            </w:pPr>
            <w:r>
              <w:t xml:space="preserve">Dissertation Finalization &amp; Dissemination</w:t>
            </w:r>
          </w:p>
        </w:tc>
        <w:tc>
          <w:tcPr/>
          <w:p>
            <w:pPr>
              <w:pStyle w:val="Compact"/>
              <w:jc w:val="left"/>
            </w:pPr>
            <w:r>
              <w:t xml:space="preserve">Oct–Dec 2026</w:t>
            </w:r>
          </w:p>
        </w:tc>
        <w:tc>
          <w:tcPr/>
          <w:p>
            <w:pPr>
              <w:pStyle w:val="Compact"/>
              <w:jc w:val="left"/>
            </w:pPr>
            <w:r>
              <w:t xml:space="preserve">Thesis writing; conference presentation at TBS Annual Meeting (Istanbul)</w:t>
            </w:r>
          </w:p>
        </w:tc>
        <w:tc>
          <w:tcPr/>
          <w:p>
            <w:pPr>
              <w:pStyle w:val="Compact"/>
            </w:pPr>
          </w:p>
        </w:tc>
      </w:tr>
    </w:tbl>
    <w:bookmarkEnd w:id="26"/>
    <w:bookmarkStart w:id="27" w:name="X6107553a97779f5bfeb200b665ca6a7b419ccb4"/>
    <w:p>
      <w:pPr>
        <w:pStyle w:val="Heading2"/>
      </w:pPr>
      <w:r>
        <w:t xml:space="preserve">Conclusion: A Biologist’s Role in Istanbul’s Sustainable Future</w:t>
      </w:r>
    </w:p>
    <w:p>
      <w:pPr>
        <w:pStyle w:val="FirstParagraph"/>
      </w:pPr>
      <w:r>
        <w:t xml:space="preserve">This thesis represents a vital contribution to Istanbul's environmental future and Turkey's scientific advancement. By centering research on the city’s unique ecological challenges, the study will produce evidence-based conservation frameworks directly applicable to urban planners, policymakers, and environmental NGOs across Turkey. The Biologist conducting this work will emerge as a specialist equipped with field experience critical for roles in Turkish institutions like the Ministry of Environment or local municipal bodies. Ultimately, this research embodies the global imperative for locally grounded ecological science—a necessity for Istanbul's resilience and Turkey’s leadership in Mediterranean conservation. As Istanbul continues to evolve, its biological heritage must remain at the heart of sustainable development; this thesis ensures that it does.</w:t>
      </w:r>
    </w:p>
    <w:bookmarkEnd w:id="27"/>
    <w:bookmarkStart w:id="28" w:name="references"/>
    <w:p>
      <w:pPr>
        <w:pStyle w:val="Heading2"/>
      </w:pPr>
      <w:r>
        <w:t xml:space="preserve">References</w:t>
      </w:r>
    </w:p>
    <w:p>
      <w:pPr>
        <w:numPr>
          <w:ilvl w:val="0"/>
          <w:numId w:val="1002"/>
        </w:numPr>
        <w:pStyle w:val="Compact"/>
      </w:pPr>
      <w:r>
        <w:t xml:space="preserve">Turkish Ministry of Environment and Forest (2021). *National Biodiversity Strategy for Turkey (2030)*. Ankara: MEF Publications.</w:t>
      </w:r>
    </w:p>
    <w:p>
      <w:pPr>
        <w:numPr>
          <w:ilvl w:val="0"/>
          <w:numId w:val="1002"/>
        </w:numPr>
        <w:pStyle w:val="Compact"/>
      </w:pPr>
      <w:r>
        <w:t xml:space="preserve">Kaya, A., et al. (2023). "Urbanization Impacts on Freshwater Ecosystems in Istanbul." *Journal of Environmental Management*, 317, 115489.</w:t>
      </w:r>
    </w:p>
    <w:p>
      <w:pPr>
        <w:numPr>
          <w:ilvl w:val="0"/>
          <w:numId w:val="1002"/>
        </w:numPr>
        <w:pStyle w:val="Compact"/>
      </w:pPr>
      <w:r>
        <w:t xml:space="preserve">United Nations (2023). *Istanbul Urban Development Strategy: Green Infrastructure Plan*. UN-Habitat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Istanbul's Ecological Corridors</dc:title>
  <dc:creator/>
  <dc:language>en</dc:language>
  <cp:keywords/>
  <dcterms:created xsi:type="dcterms:W3CDTF">2026-07-20T10:10:12Z</dcterms:created>
  <dcterms:modified xsi:type="dcterms:W3CDTF">2026-07-20T10:10:12Z</dcterms:modified>
</cp:coreProperties>
</file>

<file path=docProps/custom.xml><?xml version="1.0" encoding="utf-8"?>
<Properties xmlns="http://schemas.openxmlformats.org/officeDocument/2006/custom-properties" xmlns:vt="http://schemas.openxmlformats.org/officeDocument/2006/docPropsVTypes"/>
</file>