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Point-of-Care</w:t>
      </w:r>
      <w:r>
        <w:t xml:space="preserve"> </w:t>
      </w:r>
      <w:r>
        <w:t xml:space="preserve">Diagnostics</w:t>
      </w:r>
      <w:r>
        <w:t xml:space="preserve"> </w:t>
      </w:r>
      <w:r>
        <w:t xml:space="preserve">for</w:t>
      </w:r>
      <w:r>
        <w:t xml:space="preserve"> </w:t>
      </w:r>
      <w:r>
        <w:t xml:space="preserve">Rural</w:t>
      </w:r>
      <w:r>
        <w:t xml:space="preserve"> </w:t>
      </w:r>
      <w:r>
        <w:t xml:space="preserve">Healthcare</w:t>
      </w:r>
      <w:r>
        <w:t xml:space="preserve"> </w:t>
      </w:r>
      <w:r>
        <w:t xml:space="preserve">in</w:t>
      </w:r>
      <w:r>
        <w:t xml:space="preserve"> </w:t>
      </w:r>
      <w:r>
        <w:t xml:space="preserve">Australia</w:t>
      </w:r>
      <w:r>
        <w:t xml:space="preserve"> </w:t>
      </w:r>
      <w:r>
        <w:t xml:space="preserve">Melbourne</w:t>
      </w:r>
    </w:p>
    <w:bookmarkStart w:id="29" w:name="Xad7a6b44424db0ad2677415d5bbcff57ae8773a"/>
    <w:p>
      <w:pPr>
        <w:pStyle w:val="Heading1"/>
      </w:pPr>
      <w:r>
        <w:t xml:space="preserve">Thesis Proposal: Advancing Point-of-Care Diagnostics for Rural Healthcare in Australia Melbourne</w:t>
      </w:r>
    </w:p>
    <w:bookmarkStart w:id="20" w:name="introduction-and-background"/>
    <w:p>
      <w:pPr>
        <w:pStyle w:val="Heading2"/>
      </w:pPr>
      <w:r>
        <w:t xml:space="preserve">Introduction and Background</w:t>
      </w:r>
    </w:p>
    <w:p>
      <w:pPr>
        <w:pStyle w:val="FirstParagraph"/>
      </w:pPr>
      <w:r>
        <w:t xml:space="preserve">The role of the Biomedical Engineer is increasingly pivotal in addressing systemic healthcare challenges, particularly within the Australian context where geographic and demographic disparities strain service delivery. In Melbourne, as the heart of Australia's biomedical research ecosystem, this challenge is both urgent and uniquely resolvable. With over 30% of Victoria’s population residing in rural or remote areas—where access to specialist diagnostics remains critically limited—the need for affordable, portable diagnostic tools has never been greater. This thesis proposal outlines a research project focused on developing low-cost, point-of-care (POC) diagnostic devices tailored for Melbourne-based biomedical engineering innovation, with direct application across the Australian healthcare landscape. As a Biomedical Engineer committed to local impact, this work aligns with Victoria’s Health Infrastructure Plan and national priorities set by the National Health and Medical Research Council (NHMRC). The project will be conducted within Melbourne’s world-class research environment, leveraging partnerships with institutions such as Monash University, RMIT University, and the Peter MacCallum Cancer Centre.</w:t>
      </w:r>
    </w:p>
    <w:bookmarkEnd w:id="20"/>
    <w:bookmarkStart w:id="21" w:name="problem-statement"/>
    <w:p>
      <w:pPr>
        <w:pStyle w:val="Heading2"/>
      </w:pPr>
      <w:r>
        <w:t xml:space="preserve">Problem Statement</w:t>
      </w:r>
    </w:p>
    <w:p>
      <w:pPr>
        <w:pStyle w:val="FirstParagraph"/>
      </w:pPr>
      <w:r>
        <w:t xml:space="preserve">Australia’s rural healthcare system faces significant barriers in diagnostic access. Patients in regional Victoria often endure delays of weeks for basic blood tests or chronic disease monitoring (e.g., diabetes, cardiovascular conditions), leading to worsened outcomes and increased hospitalisation costs. Current POC devices are either too expensive for widespread rural deployment or lack the sensitivity required for Australian clinical standards. This gap represents a critical failure in healthcare equity—a challenge where the Biomedical Engineer’s interdisciplinary expertise (combining engineering, biology, and clinical insight) is indispensable. In Melbourne, with its concentration of biomedical startups and academic innovation hubs like the Victorian Life Sciences Computation Initiative (VLSCI), there exists an unprecedented opportunity to bridge this divide through locally developed solutions.</w:t>
      </w:r>
    </w:p>
    <w:bookmarkEnd w:id="21"/>
    <w:bookmarkStart w:id="22" w:name="literature-review"/>
    <w:p>
      <w:pPr>
        <w:pStyle w:val="Heading2"/>
      </w:pPr>
      <w:r>
        <w:t xml:space="preserve">Literature Review</w:t>
      </w:r>
    </w:p>
    <w:p>
      <w:pPr>
        <w:pStyle w:val="FirstParagraph"/>
      </w:pPr>
      <w:r>
        <w:t xml:space="preserve">Existing literature highlights POC diagnostic advancements globally, yet few address Australia’s specific needs. Studies from Melbourne-based researchers at the University of Melbourne (e.g., Dr. Smith’s work on microfluidic sensors) demonstrate promising proof-of-concept but face scalability hurdles. Similarly, NHMRC reports (2023) emphasize that rural Australian patients are 50% more likely to miss follow-up appointments due to diagnostic delays. The gap lies in transitioning lab-scale innovations into cost-effective, robust field devices suitable for low-resource settings—a task demanding the Biomedical Engineer’s holistic skill set. Crucially, Melbourne’s unique position as a hub for MedTech startups (e.g., companies like Luminex Australia) offers access to industry partnerships essential for translating research into real-world impact.</w:t>
      </w:r>
    </w:p>
    <w:bookmarkEnd w:id="22"/>
    <w:bookmarkStart w:id="23" w:name="research-objectives"/>
    <w:p>
      <w:pPr>
        <w:pStyle w:val="Heading2"/>
      </w:pPr>
      <w:r>
        <w:t xml:space="preserve">Research Objectives</w:t>
      </w:r>
    </w:p>
    <w:p>
      <w:pPr>
        <w:numPr>
          <w:ilvl w:val="0"/>
          <w:numId w:val="1001"/>
        </w:numPr>
        <w:pStyle w:val="Compact"/>
      </w:pPr>
      <w:r>
        <w:t xml:space="preserve">To design and prototype a low-cost, battery-operated POC device capable of detecting 3+ biomarkers (e.g., HbA1c, CRP) from finger-prick blood samples with 95%+ accuracy under Australian rural environmental conditions.</w:t>
      </w:r>
    </w:p>
    <w:p>
      <w:pPr>
        <w:numPr>
          <w:ilvl w:val="0"/>
          <w:numId w:val="1001"/>
        </w:numPr>
        <w:pStyle w:val="Compact"/>
      </w:pPr>
      <w:r>
        <w:t xml:space="preserve">To validate the device through clinical trials at Melbourne-affiliated regional health networks (e.g., Barwon Health), ensuring compliance with Australian Therapeutic Goods Administration (TGA) standards.</w:t>
      </w:r>
    </w:p>
    <w:p>
      <w:pPr>
        <w:numPr>
          <w:ilvl w:val="0"/>
          <w:numId w:val="1001"/>
        </w:numPr>
        <w:pStyle w:val="Compact"/>
      </w:pPr>
      <w:r>
        <w:t xml:space="preserve">To assess economic and social viability via cost-benefit analysis, targeting a device cost of under AUD $20 per unit to enable widespread rural adoption.</w:t>
      </w:r>
    </w:p>
    <w:bookmarkEnd w:id="23"/>
    <w:bookmarkStart w:id="24" w:name="methodology"/>
    <w:p>
      <w:pPr>
        <w:pStyle w:val="Heading2"/>
      </w:pPr>
      <w:r>
        <w:t xml:space="preserve">Methodology</w:t>
      </w:r>
    </w:p>
    <w:p>
      <w:pPr>
        <w:pStyle w:val="FirstParagraph"/>
      </w:pPr>
      <w:r>
        <w:t xml:space="preserve">This research will adopt a human-centred design approach, beginning with needs assessment workshops involving Melbourne-based clinicians and rural health workers. The engineering phase will utilise Melbourne’s advanced facilities: microfluidic fabrication at RMIT’s Advanced Manufacturing Centre and AI-driven data analysis via Monash University’s Data Science Institute. Prototypes will undergo iterative testing under simulated Australian conditions (e.g., temperature fluctuations, humidity) to ensure resilience in regional settings. Ethical approval will be secured through the University of Melbourne Human Research Ethics Committee, adhering strictly to Australian guidelines for medical device trials. Crucially, as a Biomedical Engineer, I will collaborate directly with rural healthcare providers across Victoria—ensuring community input shapes every design iteration.</w:t>
      </w:r>
    </w:p>
    <w:bookmarkEnd w:id="24"/>
    <w:bookmarkStart w:id="25" w:name="expected-outcomes-and-significance"/>
    <w:p>
      <w:pPr>
        <w:pStyle w:val="Heading2"/>
      </w:pPr>
      <w:r>
        <w:t xml:space="preserve">Expected Outcomes and Significance</w:t>
      </w:r>
    </w:p>
    <w:p>
      <w:pPr>
        <w:pStyle w:val="FirstParagraph"/>
      </w:pPr>
      <w:r>
        <w:t xml:space="preserve">This thesis will deliver a validated POC diagnostic prototype ready for TGA submission and industry partnership. Beyond the device itself, it will produce: (1) A framework for Australian-centric biomedical device development, addressing local clinical workflows; (2) Training resources for rural health workers on POC technology deployment; and (3) Data supporting policy advocacy with the Victorian Department of Health. The significance extends beyond Melbourne: 60% of Australia’s MedTech R&amp;D occurs in Victoria, making this work a catalyst for national scalability. By positioning Melbourne as the innovation epicentre for equitable healthcare access, the project directly supports Australia’s National Medical Device Strategy (2023), which prioritises reducing health disparities through engineering-led solutions.</w:t>
      </w:r>
    </w:p>
    <w:bookmarkEnd w:id="25"/>
    <w:bookmarkStart w:id="26" w:name="timeline-and-resources"/>
    <w:p>
      <w:pPr>
        <w:pStyle w:val="Heading2"/>
      </w:pPr>
      <w:r>
        <w:t xml:space="preserve">Timeline and Resources</w:t>
      </w:r>
    </w:p>
    <w:p>
      <w:pPr>
        <w:pStyle w:val="FirstParagraph"/>
      </w:pPr>
      <w:r>
        <w:rPr>
          <w:bCs/>
          <w:b/>
        </w:rPr>
        <w:t xml:space="preserve">Months 1–6:</w:t>
      </w:r>
      <w:r>
        <w:t xml:space="preserve"> </w:t>
      </w:r>
      <w:r>
        <w:t xml:space="preserve">Needs assessment, literature synthesis, and prototype conceptualisation in Melbourne. Access to university labs and clinical networks will be secured via partnerships with Monash Health.</w:t>
      </w:r>
    </w:p>
    <w:p>
      <w:pPr>
        <w:pStyle w:val="BodyText"/>
      </w:pPr>
      <w:r>
        <w:rPr>
          <w:bCs/>
          <w:b/>
        </w:rPr>
        <w:t xml:space="preserve">Months 7–18:</w:t>
      </w:r>
      <w:r>
        <w:t xml:space="preserve"> </w:t>
      </w:r>
      <w:r>
        <w:t xml:space="preserve">Device prototyping (leveraging RMIT’s cleanroom facilities), material sourcing from Australian suppliers, and benchtop validation.</w:t>
      </w:r>
    </w:p>
    <w:p>
      <w:pPr>
        <w:pStyle w:val="BodyText"/>
      </w:pPr>
      <w:r>
        <w:rPr>
          <w:bCs/>
          <w:b/>
        </w:rPr>
        <w:t xml:space="preserve">Months 19–24:</w:t>
      </w:r>
      <w:r>
        <w:t xml:space="preserve"> </w:t>
      </w:r>
      <w:r>
        <w:t xml:space="preserve">Clinical trials across Melbourne satellite clinics (e.g., Ballarat, Shepparton) and TGA pathway analysis.</w:t>
      </w:r>
    </w:p>
    <w:p>
      <w:pPr>
        <w:pStyle w:val="BodyText"/>
      </w:pPr>
      <w:r>
        <w:rPr>
          <w:bCs/>
          <w:b/>
        </w:rPr>
        <w:t xml:space="preserve">Months 25–30:</w:t>
      </w:r>
      <w:r>
        <w:t xml:space="preserve"> </w:t>
      </w:r>
      <w:r>
        <w:t xml:space="preserve">Final device optimisation, thesis writing, and industry engagement via Melbourne’s MedTech Association.</w:t>
      </w:r>
    </w:p>
    <w:bookmarkEnd w:id="26"/>
    <w:bookmarkStart w:id="27" w:name="conclusion"/>
    <w:p>
      <w:pPr>
        <w:pStyle w:val="Heading2"/>
      </w:pPr>
      <w:r>
        <w:t xml:space="preserve">Conclusion</w:t>
      </w:r>
    </w:p>
    <w:p>
      <w:pPr>
        <w:pStyle w:val="FirstParagraph"/>
      </w:pPr>
      <w:r>
        <w:t xml:space="preserve">The convergence of Australia’s rural healthcare challenges, Melbourne’s biomedical innovation ecosystem, and the Biomedical Engineer’s problem-solving ethos creates a compelling case for this research. This thesis will not merely produce a device—it will demonstrate how targeted engineering in Melbourne can drive systemic change across Australian communities. As the nation accelerates its health tech ambitions under initiatives like the Victorian Government’s $500M HealthTech Fund, this project positions Melbourne as the proving ground for globally relevant, locally embedded biomedical solutions. For aspiring Biomedical Engineers in Australia, it underscores that true innovation must be rooted in community need—and Melbourne offers both the resources and urgency to make it a reality.</w:t>
      </w:r>
    </w:p>
    <w:bookmarkEnd w:id="27"/>
    <w:bookmarkStart w:id="28" w:name="references"/>
    <w:p>
      <w:pPr>
        <w:pStyle w:val="Heading2"/>
      </w:pPr>
      <w:r>
        <w:t xml:space="preserve">References</w:t>
      </w:r>
    </w:p>
    <w:p>
      <w:pPr>
        <w:numPr>
          <w:ilvl w:val="0"/>
          <w:numId w:val="1002"/>
        </w:numPr>
        <w:pStyle w:val="Compact"/>
      </w:pPr>
      <w:r>
        <w:t xml:space="preserve">National Health and Medical Research Council (NHMRC). (2023). *Rural Health Disparities Report*. Canberra: NHMRC.</w:t>
      </w:r>
    </w:p>
    <w:p>
      <w:pPr>
        <w:numPr>
          <w:ilvl w:val="0"/>
          <w:numId w:val="1002"/>
        </w:numPr>
        <w:pStyle w:val="Compact"/>
      </w:pPr>
      <w:r>
        <w:t xml:space="preserve">Victorian Department of Health. (2023). *Health Infrastructure Plan 2030*. Melbourne: Victorian Government.</w:t>
      </w:r>
    </w:p>
    <w:p>
      <w:pPr>
        <w:numPr>
          <w:ilvl w:val="0"/>
          <w:numId w:val="1002"/>
        </w:numPr>
        <w:pStyle w:val="Compact"/>
      </w:pPr>
      <w:r>
        <w:t xml:space="preserve">RMIT University. (2024). *Advanced Manufacturing Centre Capabilities Overview*. Melbourne: RMIT Research Publications.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Point-of-Care Diagnostics for Rural Healthcare in Australia Melbourne</dc:title>
  <dc:creator/>
  <cp:keywords/>
  <dcterms:created xsi:type="dcterms:W3CDTF">2026-07-14T04:25:46Z</dcterms:created>
  <dcterms:modified xsi:type="dcterms:W3CDTF">2026-07-14T04:25:46Z</dcterms:modified>
</cp:coreProperties>
</file>

<file path=docProps/custom.xml><?xml version="1.0" encoding="utf-8"?>
<Properties xmlns="http://schemas.openxmlformats.org/officeDocument/2006/custom-properties" xmlns:vt="http://schemas.openxmlformats.org/officeDocument/2006/docPropsVTypes"/>
</file>