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Sydney</w:t>
      </w:r>
      <w:r>
        <w:t xml:space="preserve"> </w:t>
      </w:r>
      <w:r>
        <w:t xml:space="preserve">Healthcare</w:t>
      </w:r>
      <w:r>
        <w:t xml:space="preserve"> </w:t>
      </w:r>
      <w:r>
        <w:t xml:space="preserve">Ecosystem</w:t>
      </w:r>
    </w:p>
    <w:bookmarkStart w:id="28" w:name="Xe86b18bc6480e53910707ca857318610f9152d7"/>
    <w:p>
      <w:pPr>
        <w:pStyle w:val="Heading1"/>
      </w:pPr>
      <w:r>
        <w:t xml:space="preserve">Thesis Proposal: Developing AI-Integrated Wearable Sensors for Chronic Disease Management in the Australia Sydney Context</w:t>
      </w:r>
    </w:p>
    <w:bookmarkStart w:id="20" w:name="introduction-and-background"/>
    <w:p>
      <w:pPr>
        <w:pStyle w:val="Heading2"/>
      </w:pPr>
      <w:r>
        <w:t xml:space="preserve">Introduction and Background</w:t>
      </w:r>
    </w:p>
    <w:p>
      <w:pPr>
        <w:pStyle w:val="FirstParagraph"/>
      </w:pPr>
      <w:r>
        <w:t xml:space="preserve">This Thesis Proposal outlines a critical research initiative addressing the growing demand for innovative healthcare solutions within Australia's evolving medical landscape, with specific focus on Sydney as a national healthcare hub. As one of the largest urban centers globally, Sydney faces unique challenges in managing chronic diseases—particularly diabetes, cardiovascular conditions, and age-related mobility issues—among its diverse and aging population. The role of the</w:t>
      </w:r>
      <w:r>
        <w:t xml:space="preserve"> </w:t>
      </w:r>
      <w:r>
        <w:rPr>
          <w:iCs/>
          <w:i/>
        </w:rPr>
        <w:t xml:space="preserve">Biomedical Engineer</w:t>
      </w:r>
      <w:r>
        <w:t xml:space="preserve"> </w:t>
      </w:r>
      <w:r>
        <w:t xml:space="preserve">is central to developing contextually appropriate technologies that integrate seamlessly with Australia's healthcare infrastructure. This research responds directly to the National Health and Medical Research Council (NHMRC) priority on digital health innovation and aligns with NSW Health’s 2030 Strategy, which emphasizes preventative care through technology. The proposed work will position Sydney as a leader in translating Biomedical Engineering expertise into tangible patient outcomes within the Australian regulatory framework.</w:t>
      </w:r>
    </w:p>
    <w:bookmarkEnd w:id="20"/>
    <w:bookmarkStart w:id="21" w:name="problem-statement"/>
    <w:p>
      <w:pPr>
        <w:pStyle w:val="Heading2"/>
      </w:pPr>
      <w:r>
        <w:t xml:space="preserve">Problem Statement</w:t>
      </w:r>
    </w:p>
    <w:p>
      <w:pPr>
        <w:pStyle w:val="FirstParagraph"/>
      </w:pPr>
      <w:r>
        <w:t xml:space="preserve">Despite Australia's advanced healthcare system, significant gaps persist in chronic disease management, especially for vulnerable populations in Sydney's Western and Northern suburbs. Current wearable health monitoring devices often fail to meet local needs due to: (1) poor adaptation to Australian environmental conditions (e.g., extreme UV exposure affecting sensor accuracy), (2) lack of integration with Medicare Australia’s digital platforms, and (3) insufficient consideration of cultural diversity in design. This results in low patient adherence rates—up to 60% among Indigenous communities and elderly populations—and increased emergency department visits. A</w:t>
      </w:r>
      <w:r>
        <w:t xml:space="preserve"> </w:t>
      </w:r>
      <w:r>
        <w:rPr>
          <w:iCs/>
          <w:i/>
        </w:rPr>
        <w:t xml:space="preserve">Biomedical Engineer</w:t>
      </w:r>
      <w:r>
        <w:t xml:space="preserve"> </w:t>
      </w:r>
      <w:r>
        <w:t xml:space="preserve">trained in the Australia Sydney context is uniquely positioned to bridge this gap through co-design with local healthcare providers, ensuring solutions are both technically robust and socially responsive.</w:t>
      </w:r>
    </w:p>
    <w:bookmarkEnd w:id="21"/>
    <w:bookmarkStart w:id="22" w:name="research-objectives"/>
    <w:p>
      <w:pPr>
        <w:pStyle w:val="Heading2"/>
      </w:pPr>
      <w:r>
        <w:t xml:space="preserve">Research Objectives</w:t>
      </w:r>
    </w:p>
    <w:p>
      <w:pPr>
        <w:numPr>
          <w:ilvl w:val="0"/>
          <w:numId w:val="1001"/>
        </w:numPr>
        <w:pStyle w:val="Compact"/>
      </w:pPr>
      <w:r>
        <w:t xml:space="preserve">To design a low-cost, durable wearable sensor system optimized for Sydney’s climate and integrated with the Australian Digital Health Agency’s My Health Record platform.</w:t>
      </w:r>
    </w:p>
    <w:p>
      <w:pPr>
        <w:numPr>
          <w:ilvl w:val="0"/>
          <w:numId w:val="1001"/>
        </w:numPr>
        <w:pStyle w:val="Compact"/>
      </w:pPr>
      <w:r>
        <w:t xml:space="preserve">To develop machine learning algorithms that interpret physiological data through the lens of Australia-specific health risk factors (e.g., high UV index, unique dietary patterns).</w:t>
      </w:r>
    </w:p>
    <w:p>
      <w:pPr>
        <w:numPr>
          <w:ilvl w:val="0"/>
          <w:numId w:val="1001"/>
        </w:numPr>
        <w:pStyle w:val="Compact"/>
      </w:pPr>
      <w:r>
        <w:t xml:space="preserve">To co-design solutions with clinicians at Sydney Local Health District hospitals, ensuring alignment with TGA (Therapeutic Goods Administration) regulations and NSW Health protocols.</w:t>
      </w:r>
    </w:p>
    <w:p>
      <w:pPr>
        <w:numPr>
          <w:ilvl w:val="0"/>
          <w:numId w:val="1001"/>
        </w:numPr>
        <w:pStyle w:val="Compact"/>
      </w:pPr>
      <w:r>
        <w:t xml:space="preserve">To evaluate patient adherence and clinical efficacy across diverse Sydney communities through a 12-month field trial in partnership with the University of Sydney’s Centre for Healthcare Innovation.</w:t>
      </w:r>
    </w:p>
    <w:bookmarkEnd w:id="22"/>
    <w:bookmarkStart w:id="23" w:name="significance-for-australia-sydney"/>
    <w:p>
      <w:pPr>
        <w:pStyle w:val="Heading2"/>
      </w:pPr>
      <w:r>
        <w:t xml:space="preserve">Significance for Australia Sydney</w:t>
      </w:r>
    </w:p>
    <w:p>
      <w:pPr>
        <w:pStyle w:val="FirstParagraph"/>
      </w:pPr>
      <w:r>
        <w:t xml:space="preserve">This research holds transformative potential for Australia Sydney, where healthcare expenditure on chronic conditions exceeds $30 billion annually. By embedding innovation within the local context, the project directly supports:</w:t>
      </w:r>
    </w:p>
    <w:p>
      <w:pPr>
        <w:numPr>
          <w:ilvl w:val="0"/>
          <w:numId w:val="1002"/>
        </w:numPr>
        <w:pStyle w:val="Compact"/>
      </w:pPr>
      <w:r>
        <w:rPr>
          <w:bCs/>
          <w:b/>
        </w:rPr>
        <w:t xml:space="preserve">Health Equity:</w:t>
      </w:r>
      <w:r>
        <w:t xml:space="preserve"> </w:t>
      </w:r>
      <w:r>
        <w:t xml:space="preserve">Addressing disparities in rural-urban care access through devices deployable in Sydney’s peri-urban areas (e.g., Penrith, Campbelltown).</w:t>
      </w:r>
    </w:p>
    <w:p>
      <w:pPr>
        <w:numPr>
          <w:ilvl w:val="0"/>
          <w:numId w:val="1002"/>
        </w:numPr>
        <w:pStyle w:val="Compact"/>
      </w:pPr>
      <w:r>
        <w:rPr>
          <w:bCs/>
          <w:b/>
        </w:rPr>
        <w:t xml:space="preserve">Industry Growth:</w:t>
      </w:r>
      <w:r>
        <w:t xml:space="preserve"> </w:t>
      </w:r>
      <w:r>
        <w:t xml:space="preserve">Strengthening Sydney’s position as Australia's biomedical manufacturing epicenter, with potential partnerships with local firms like ResMed and Stryker Australia.</w:t>
      </w:r>
    </w:p>
    <w:p>
      <w:pPr>
        <w:numPr>
          <w:ilvl w:val="0"/>
          <w:numId w:val="1002"/>
        </w:numPr>
        <w:pStyle w:val="Compact"/>
      </w:pPr>
      <w:r>
        <w:rPr>
          <w:bCs/>
          <w:b/>
        </w:rPr>
        <w:t xml:space="preserve">Regulatory Leadership:</w:t>
      </w:r>
      <w:r>
        <w:t xml:space="preserve"> </w:t>
      </w:r>
      <w:r>
        <w:t xml:space="preserve">Contributing to TGA standards for AI-driven medical devices, setting a benchmark for global regulators.</w:t>
      </w:r>
    </w:p>
    <w:p>
      <w:pPr>
        <w:pStyle w:val="FirstParagraph"/>
      </w:pPr>
      <w:r>
        <w:t xml:space="preserve">Crucially, the work will be conducted under the mentorship of Prof. Elena Rossi at UNSW Sydney’s School of Biomedical Engineering—one of Australia’s top-ranked programs—ensuring rigorous academic and industry relevance.</w:t>
      </w:r>
    </w:p>
    <w:bookmarkEnd w:id="23"/>
    <w:bookmarkStart w:id="24" w:name="methodology"/>
    <w:p>
      <w:pPr>
        <w:pStyle w:val="Heading2"/>
      </w:pPr>
      <w:r>
        <w:t xml:space="preserve">Methodology</w:t>
      </w:r>
    </w:p>
    <w:p>
      <w:pPr>
        <w:pStyle w:val="FirstParagraph"/>
      </w:pPr>
      <w:r>
        <w:t xml:space="preserve">The research employs a mixed-methods approach grounded in Sydney's healthcare realities:</w:t>
      </w:r>
    </w:p>
    <w:p>
      <w:pPr>
        <w:numPr>
          <w:ilvl w:val="0"/>
          <w:numId w:val="1003"/>
        </w:numPr>
        <w:pStyle w:val="Compact"/>
      </w:pPr>
      <w:r>
        <w:rPr>
          <w:iCs/>
          <w:i/>
        </w:rPr>
        <w:t xml:space="preserve">Phase 1 (Months 1-4):</w:t>
      </w:r>
      <w:r>
        <w:t xml:space="preserve"> </w:t>
      </w:r>
      <w:r>
        <w:t xml:space="preserve">Systematic review of TGA-approved devices in Australia, focusing on gaps in climate resilience and cultural adaptation. Interviews with Biomedical Engineers at Royal Prince Alfred Hospital and Westmead Clinical School to define Sydney-specific constraints.</w:t>
      </w:r>
    </w:p>
    <w:p>
      <w:pPr>
        <w:numPr>
          <w:ilvl w:val="0"/>
          <w:numId w:val="1003"/>
        </w:numPr>
        <w:pStyle w:val="Compact"/>
      </w:pPr>
      <w:r>
        <w:rPr>
          <w:iCs/>
          <w:i/>
        </w:rPr>
        <w:t xml:space="preserve">Phase 2 (Months 5-9):</w:t>
      </w:r>
      <w:r>
        <w:t xml:space="preserve"> </w:t>
      </w:r>
      <w:r>
        <w:t xml:space="preserve">Prototype development using additive manufacturing facilities at the Australian Centre for Microscopy &amp; Microanalysis (ACMM), with iterative testing in simulated Sydney environments (e.g., high-humidity chambers mimicking Botany Bay climate).</w:t>
      </w:r>
    </w:p>
    <w:p>
      <w:pPr>
        <w:numPr>
          <w:ilvl w:val="0"/>
          <w:numId w:val="1003"/>
        </w:numPr>
        <w:pStyle w:val="Compact"/>
      </w:pPr>
      <w:r>
        <w:rPr>
          <w:iCs/>
          <w:i/>
        </w:rPr>
        <w:t xml:space="preserve">Phase 3 (Months 10-18):</w:t>
      </w:r>
      <w:r>
        <w:t xml:space="preserve"> </w:t>
      </w:r>
      <w:r>
        <w:t xml:space="preserve">Field trials across three Sydney Health Networks:</w:t>
      </w:r>
    </w:p>
    <w:p>
      <w:pPr>
        <w:numPr>
          <w:ilvl w:val="1"/>
          <w:numId w:val="1004"/>
        </w:numPr>
        <w:pStyle w:val="Compact"/>
      </w:pPr>
      <w:r>
        <w:t xml:space="preserve">Aged Care Facility (Sydney South West),</w:t>
      </w:r>
    </w:p>
    <w:p>
      <w:pPr>
        <w:numPr>
          <w:ilvl w:val="1"/>
          <w:numId w:val="1004"/>
        </w:numPr>
        <w:pStyle w:val="Compact"/>
      </w:pPr>
      <w:r>
        <w:t xml:space="preserve">Rural Health Clinic (Blue Mountains),</w:t>
      </w:r>
    </w:p>
    <w:p>
      <w:pPr>
        <w:numPr>
          <w:ilvl w:val="1"/>
          <w:numId w:val="1004"/>
        </w:numPr>
        <w:pStyle w:val="Compact"/>
      </w:pPr>
      <w:r>
        <w:t xml:space="preserve">Indigenous Community Centre (Redfern).</w:t>
      </w:r>
    </w:p>
    <w:p>
      <w:pPr>
        <w:numPr>
          <w:ilvl w:val="0"/>
          <w:numId w:val="1003"/>
        </w:numPr>
        <w:pStyle w:val="Compact"/>
      </w:pPr>
      <w:r>
        <w:rPr>
          <w:iCs/>
          <w:i/>
        </w:rPr>
        <w:t xml:space="preserve">Phase 4 (Months 19-24):</w:t>
      </w:r>
      <w:r>
        <w:t xml:space="preserve"> </w:t>
      </w:r>
      <w:r>
        <w:t xml:space="preserve">Data analysis using Australian-specific health datasets from the AIHW, with statistical validation of clinical outcomes against NHMRC benchmarks.</w:t>
      </w:r>
    </w:p>
    <w:bookmarkEnd w:id="24"/>
    <w:bookmarkStart w:id="25" w:name="expected-outcomes-and-dissemination"/>
    <w:p>
      <w:pPr>
        <w:pStyle w:val="Heading2"/>
      </w:pPr>
      <w:r>
        <w:t xml:space="preserve">Expected Outcomes and Dissemination</w:t>
      </w:r>
    </w:p>
    <w:p>
      <w:pPr>
        <w:pStyle w:val="FirstParagraph"/>
      </w:pPr>
      <w:r>
        <w:t xml:space="preserve">This Thesis Proposal anticipates delivering:</w:t>
      </w:r>
    </w:p>
    <w:p>
      <w:pPr>
        <w:numPr>
          <w:ilvl w:val="0"/>
          <w:numId w:val="1005"/>
        </w:numPr>
        <w:pStyle w:val="Compact"/>
      </w:pPr>
      <w:r>
        <w:t xml:space="preserve">A validated prototype of a climate-adaptive wearable sensor compliant with AS/NZS 4506 (medical device standards).</w:t>
      </w:r>
    </w:p>
    <w:p>
      <w:pPr>
        <w:numPr>
          <w:ilvl w:val="0"/>
          <w:numId w:val="1005"/>
        </w:numPr>
        <w:pStyle w:val="Compact"/>
      </w:pPr>
      <w:r>
        <w:t xml:space="preserve">Open-source algorithms optimized for Australian health data patterns, accessible via the Sydney-based National AI Centre.</w:t>
      </w:r>
    </w:p>
    <w:p>
      <w:pPr>
        <w:numPr>
          <w:ilvl w:val="0"/>
          <w:numId w:val="1005"/>
        </w:numPr>
        <w:pStyle w:val="Compact"/>
      </w:pPr>
      <w:r>
        <w:t xml:space="preserve">A policy brief for NSW Health on integrating Biomedical Engineering innovation into regional service planning.</w:t>
      </w:r>
    </w:p>
    <w:p>
      <w:pPr>
        <w:pStyle w:val="FirstParagraph"/>
      </w:pPr>
      <w:r>
        <w:t xml:space="preserve">Outcomes will be disseminated through:</w:t>
      </w:r>
    </w:p>
    <w:p>
      <w:pPr>
        <w:numPr>
          <w:ilvl w:val="0"/>
          <w:numId w:val="1006"/>
        </w:numPr>
        <w:pStyle w:val="Compact"/>
      </w:pPr>
      <w:r>
        <w:t xml:space="preserve">Peer-reviewed publications in journals like the</w:t>
      </w:r>
      <w:r>
        <w:t xml:space="preserve"> </w:t>
      </w:r>
      <w:r>
        <w:rPr>
          <w:iCs/>
          <w:i/>
        </w:rPr>
        <w:t xml:space="preserve">Journal of Biomedical Engineering</w:t>
      </w:r>
      <w:r>
        <w:t xml:space="preserve"> </w:t>
      </w:r>
      <w:r>
        <w:t xml:space="preserve">(Australia’s leading journal),</w:t>
      </w:r>
    </w:p>
    <w:p>
      <w:pPr>
        <w:numPr>
          <w:ilvl w:val="0"/>
          <w:numId w:val="1006"/>
        </w:numPr>
        <w:pStyle w:val="Compact"/>
      </w:pPr>
      <w:r>
        <w:t xml:space="preserve">Presentation at the 2025 Australasian Conference on Medical Devices in Sydney,</w:t>
      </w:r>
    </w:p>
    <w:p>
      <w:pPr>
        <w:numPr>
          <w:ilvl w:val="0"/>
          <w:numId w:val="1006"/>
        </w:numPr>
        <w:pStyle w:val="Compact"/>
      </w:pPr>
      <w:r>
        <w:t xml:space="preserve">Workshops with NSW Health and industry partners at The University of Sydney’s Innovation Hub.</w:t>
      </w:r>
    </w:p>
    <w:bookmarkEnd w:id="25"/>
    <w:bookmarkStart w:id="27" w:name="X41d00b291ae56a24c9eb32f21e143c38d19e825"/>
    <w:p>
      <w:pPr>
        <w:pStyle w:val="Heading2"/>
      </w:pPr>
      <w:r>
        <w:t xml:space="preserve">Conclusion: A Strategic Imperative for Australia Sydney</w:t>
      </w:r>
    </w:p>
    <w:p>
      <w:pPr>
        <w:pStyle w:val="FirstParagraph"/>
      </w:pPr>
      <w:r>
        <w:t xml:space="preserve">The future of healthcare in Australia hinges on locally driven innovation. As the world’s population ages, the need for a skilled</w:t>
      </w:r>
      <w:r>
        <w:t xml:space="preserve"> </w:t>
      </w:r>
      <w:r>
        <w:rPr>
          <w:iCs/>
          <w:i/>
        </w:rPr>
        <w:t xml:space="preserve">Biomedical Engineer</w:t>
      </w:r>
      <w:r>
        <w:t xml:space="preserve"> </w:t>
      </w:r>
      <w:r>
        <w:t xml:space="preserve">who understands both technical precision and community context is paramount. This Thesis Proposal transcends academic exercise—it proposes a roadmap for embedding Sydney’s unique socio-geographic realities into the core of biomedical innovation. By prioritizing Australian standards, local healthcare partnerships, and cultural humility, this research will not only advance the field but also deliver immediate value to communities across Australia Sydney. It positions the next generation of Biomedical Engineers to lead in a sector projected to grow by 15% annually in Australia through 2030. Ultimately, this work embodies the mission of Australian biomedical engineering: creating technologies that save lives where they are needed most—with Sydney as the proving ground for solutions that will transform healthcare nationally and beyond.</w:t>
      </w:r>
    </w:p>
    <w:bookmarkStart w:id="26" w:name="word-count-874"/>
    <w:p>
      <w:pPr>
        <w:pStyle w:val="Heading3"/>
      </w:pPr>
      <w:r>
        <w:t xml:space="preserve">Word Count: 874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Australia Sydney Healthcare Ecosystem</dc:title>
  <dc:creator/>
  <dc:language>en</dc:language>
  <cp:keywords/>
  <dcterms:created xsi:type="dcterms:W3CDTF">2026-04-27T10:29:14Z</dcterms:created>
  <dcterms:modified xsi:type="dcterms:W3CDTF">2026-04-27T10:29:14Z</dcterms:modified>
</cp:coreProperties>
</file>

<file path=docProps/custom.xml><?xml version="1.0" encoding="utf-8"?>
<Properties xmlns="http://schemas.openxmlformats.org/officeDocument/2006/custom-properties" xmlns:vt="http://schemas.openxmlformats.org/officeDocument/2006/docPropsVTypes"/>
</file>