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Biosensor</w:t>
      </w:r>
      <w:r>
        <w:t xml:space="preserve"> </w:t>
      </w:r>
      <w:r>
        <w:t xml:space="preserve">Technology</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28" w:name="Xf442de98504a5c652913f21b3753d87426feada"/>
    <w:p>
      <w:pPr>
        <w:pStyle w:val="Heading1"/>
      </w:pPr>
      <w:r>
        <w:t xml:space="preserve">Thesis Proposal: Development of a Low-Cost, AI-Integrated Wearable Biosensor System for Personalized Chronic Disease Monitoring in Canada Vancouver</w:t>
      </w:r>
    </w:p>
    <w:bookmarkStart w:id="20" w:name="introduction-and-context"/>
    <w:p>
      <w:pPr>
        <w:pStyle w:val="Heading2"/>
      </w:pPr>
      <w:r>
        <w:t xml:space="preserve">1. Introduction and Context</w:t>
      </w:r>
    </w:p>
    <w:p>
      <w:pPr>
        <w:pStyle w:val="FirstParagraph"/>
      </w:pPr>
      <w:r>
        <w:t xml:space="preserve">The field of Biomedical Engineering has emerged as a critical pillar in modern healthcare innovation, particularly within the dynamic academic and clinical ecosystem of Canada Vancouver. As a prospective Biomedical Engineer pursuing advanced research at the University of British Columbia (UBC), this Thesis Proposal outlines a project addressing an urgent need in Canadian healthcare: accessible, continuous monitoring for chronic disease management. With British Columbia's aging population and rising prevalence of diabetes (affecting over 1 million residents), cardiovascular disorders, and respiratory conditions, traditional healthcare models are increasingly strained. Vancouver—home to Canada's premier biomedical research institutions like UBC and the BC Children's Hospital Research Institute—offers an ideal environment to develop solutions that bridge technological innovation with real-world clinical needs. This proposal establishes a pathway for Biomedical Engineers in Canada Vancouver to pioneer affordable, patient-centered technologies aligned with Canada’s healthcare priorities.</w:t>
      </w:r>
    </w:p>
    <w:bookmarkEnd w:id="20"/>
    <w:bookmarkStart w:id="21" w:name="problem-statement"/>
    <w:p>
      <w:pPr>
        <w:pStyle w:val="Heading2"/>
      </w:pPr>
      <w:r>
        <w:t xml:space="preserve">2. Problem Statement</w:t>
      </w:r>
    </w:p>
    <w:p>
      <w:pPr>
        <w:pStyle w:val="FirstParagraph"/>
      </w:pPr>
      <w:r>
        <w:t xml:space="preserve">Current chronic disease monitoring systems in Canada face three critical limitations: high costs (limiting accessibility), poor user compliance due to cumbersome devices, and a lack of personalized analytics. In Vancouver, geographic diversity—spanning urban centers like Downtown Eastside to remote communities such as the Northern Interior—exacerbates these challenges. Existing wearables (e.g., smartwatches) fail to provide clinically validated data for complex conditions like type 2 diabetes management or COPD exacerbation prediction, often requiring expensive hospital follow-ups. This gap results in avoidable emergency visits, placing undue pressure on BC’s healthcare system and underserving vulnerable populations. As a Biomedical Engineer in Canada Vancouver, I recognize that solutions must be co-designed with local clinicians and patients to ensure cultural relevance and practical implementation within Canada’s universal healthcare framework.</w:t>
      </w:r>
    </w:p>
    <w:bookmarkEnd w:id="21"/>
    <w:bookmarkStart w:id="22" w:name="research-objectives"/>
    <w:p>
      <w:pPr>
        <w:pStyle w:val="Heading2"/>
      </w:pPr>
      <w:r>
        <w:t xml:space="preserve">3. Research Objectives</w:t>
      </w:r>
    </w:p>
    <w:p>
      <w:pPr>
        <w:pStyle w:val="FirstParagraph"/>
      </w:pPr>
      <w:r>
        <w:t xml:space="preserve">This Thesis Proposal aims to develop a novel, low-cost wearable biosensor system tailored for Canadian contexts. Specific objectives include:</w:t>
      </w:r>
    </w:p>
    <w:p>
      <w:pPr>
        <w:numPr>
          <w:ilvl w:val="0"/>
          <w:numId w:val="1001"/>
        </w:numPr>
        <w:pStyle w:val="Compact"/>
      </w:pPr>
      <w:r>
        <w:rPr>
          <w:bCs/>
          <w:b/>
        </w:rPr>
        <w:t xml:space="preserve">Design &amp; Fabrication:</w:t>
      </w:r>
      <w:r>
        <w:t xml:space="preserve"> </w:t>
      </w:r>
      <w:r>
        <w:t xml:space="preserve">Create a multi-parameter sensor patch (monitoring glucose, heart rate variability, and respiratory rate) using locally sourced materials to reduce costs by 40% compared to commercial alternatives.</w:t>
      </w:r>
    </w:p>
    <w:p>
      <w:pPr>
        <w:numPr>
          <w:ilvl w:val="0"/>
          <w:numId w:val="1001"/>
        </w:numPr>
        <w:pStyle w:val="Compact"/>
      </w:pPr>
      <w:r>
        <w:rPr>
          <w:bCs/>
          <w:b/>
        </w:rPr>
        <w:t xml:space="preserve">Clinical Validation:</w:t>
      </w:r>
      <w:r>
        <w:t xml:space="preserve"> </w:t>
      </w:r>
      <w:r>
        <w:t xml:space="preserve">Partner with Vancouver Coastal Health and UBC Hospital to validate accuracy against gold-standard medical devices in a diverse cohort of 150 patients across Metro Vancouver.</w:t>
      </w:r>
    </w:p>
    <w:p>
      <w:pPr>
        <w:numPr>
          <w:ilvl w:val="0"/>
          <w:numId w:val="1001"/>
        </w:numPr>
        <w:pStyle w:val="Compact"/>
      </w:pPr>
      <w:r>
        <w:rPr>
          <w:bCs/>
          <w:b/>
        </w:rPr>
        <w:t xml:space="preserve">AI-Driven Personalization:</w:t>
      </w:r>
      <w:r>
        <w:t xml:space="preserve"> </w:t>
      </w:r>
      <w:r>
        <w:t xml:space="preserve">Develop machine learning algorithms trained on Canadian patient datasets to generate predictive health insights (e.g., hypoglycemia alerts) while ensuring data privacy compliant with PIPEDA.</w:t>
      </w:r>
    </w:p>
    <w:p>
      <w:pPr>
        <w:numPr>
          <w:ilvl w:val="0"/>
          <w:numId w:val="1001"/>
        </w:numPr>
        <w:pStyle w:val="Compact"/>
      </w:pPr>
      <w:r>
        <w:rPr>
          <w:bCs/>
          <w:b/>
        </w:rPr>
        <w:t xml:space="preserve">Implementation Framework:</w:t>
      </w:r>
      <w:r>
        <w:t xml:space="preserve"> </w:t>
      </w:r>
      <w:r>
        <w:t xml:space="preserve">Establish a pilot program with First Nations Health Authority to evaluate usability in rural Indigenous communities—a priority for healthcare equity in Canada Vancouver.</w:t>
      </w:r>
    </w:p>
    <w:bookmarkEnd w:id="22"/>
    <w:bookmarkStart w:id="23" w:name="X84b3ef04d71bd1cec70add01e75fc387b8edf0e"/>
    <w:p>
      <w:pPr>
        <w:pStyle w:val="Heading2"/>
      </w:pPr>
      <w:r>
        <w:t xml:space="preserve">4. Literature Review: Contextualizing the Innovation</w:t>
      </w:r>
    </w:p>
    <w:p>
      <w:pPr>
        <w:pStyle w:val="FirstParagraph"/>
      </w:pPr>
      <w:r>
        <w:t xml:space="preserve">Recent studies (e.g., Chen et al., 2023) highlight wearables' potential but note their Western-centric design excludes culturally diverse populations—a gap this project directly addresses. In Canada, the Canadian Medical Association Journal (CMAJ) emphasizes that 65% of chronic disease management costs stem from preventable complications (Smith, 2024). Meanwhile, Vancouver’s unique climate and urban density present novel challenges for sensor durability and signal processing. This Thesis Proposal builds on UBC’s existing work in flexible electronics (Dr. Lee’s Lab) while integrating insights from BC’s</w:t>
      </w:r>
      <w:r>
        <w:t xml:space="preserve"> </w:t>
      </w:r>
      <w:r>
        <w:rPr>
          <w:iCs/>
          <w:i/>
        </w:rPr>
        <w:t xml:space="preserve">Health Innovation Strategy</w:t>
      </w:r>
      <w:r>
        <w:t xml:space="preserve">, which prioritizes "technology-enabled care for rural and Indigenous communities." Unlike global solutions, our focus on Canadian healthcare economics ensures cost-effectiveness within Medicare constraints.</w:t>
      </w:r>
    </w:p>
    <w:bookmarkEnd w:id="23"/>
    <w:bookmarkStart w:id="24" w:name="methodology-a-vancouver-centric-approach"/>
    <w:p>
      <w:pPr>
        <w:pStyle w:val="Heading2"/>
      </w:pPr>
      <w:r>
        <w:t xml:space="preserve">5. Methodology: A Vancouver-Centric Approach</w:t>
      </w:r>
    </w:p>
    <w:p>
      <w:pPr>
        <w:pStyle w:val="FirstParagraph"/>
      </w:pPr>
      <w:r>
        <w:t xml:space="preserve">The research employs a human-centered design framework, co-created with Vancouver stakeholders:</w:t>
      </w:r>
    </w:p>
    <w:p>
      <w:pPr>
        <w:numPr>
          <w:ilvl w:val="0"/>
          <w:numId w:val="1002"/>
        </w:numPr>
        <w:pStyle w:val="Compact"/>
      </w:pPr>
      <w:r>
        <w:rPr>
          <w:bCs/>
          <w:b/>
        </w:rPr>
        <w:t xml:space="preserve">Phase 1 (Months 1-6):</w:t>
      </w:r>
      <w:r>
        <w:t xml:space="preserve"> </w:t>
      </w:r>
      <w:r>
        <w:t xml:space="preserve">Collaborate with BC Diabetes Association to identify key clinical needs through focus groups across Vancouver neighborhoods. Prototype development using UBC’s Microfabrication Facility.</w:t>
      </w:r>
    </w:p>
    <w:p>
      <w:pPr>
        <w:numPr>
          <w:ilvl w:val="0"/>
          <w:numId w:val="1002"/>
        </w:numPr>
        <w:pStyle w:val="Compact"/>
      </w:pPr>
      <w:r>
        <w:rPr>
          <w:bCs/>
          <w:b/>
        </w:rPr>
        <w:t xml:space="preserve">Phase 2 (Months 7-14):</w:t>
      </w:r>
      <w:r>
        <w:t xml:space="preserve"> </w:t>
      </w:r>
      <w:r>
        <w:t xml:space="preserve">Conduct iterative testing with UBC Hospital’s geriatric and diabetes clinics. Implement ISO 13485-compliant quality protocols for medical device development in Canada.</w:t>
      </w:r>
    </w:p>
    <w:p>
      <w:pPr>
        <w:numPr>
          <w:ilvl w:val="0"/>
          <w:numId w:val="1002"/>
        </w:numPr>
        <w:pStyle w:val="Compact"/>
      </w:pPr>
      <w:r>
        <w:rPr>
          <w:bCs/>
          <w:b/>
        </w:rPr>
        <w:t xml:space="preserve">Phase 3 (Months 15-20):</w:t>
      </w:r>
      <w:r>
        <w:t xml:space="preserve"> </w:t>
      </w:r>
      <w:r>
        <w:t xml:space="preserve">Partner with First Nations Health Authority for community-based trials in the Fraser Valley, ensuring Indigenous knowledge informs sensor placement and data interpretation.</w:t>
      </w:r>
    </w:p>
    <w:p>
      <w:pPr>
        <w:numPr>
          <w:ilvl w:val="0"/>
          <w:numId w:val="1002"/>
        </w:numPr>
        <w:pStyle w:val="Compact"/>
      </w:pPr>
      <w:r>
        <w:rPr>
          <w:bCs/>
          <w:b/>
        </w:rPr>
        <w:t xml:space="preserve">Data Analytics:</w:t>
      </w:r>
      <w:r>
        <w:t xml:space="preserve"> </w:t>
      </w:r>
      <w:r>
        <w:t xml:space="preserve">Utilize UBC’s high-performance computing cluster to train federated learning models that respect provincial privacy laws while aggregating anonymized data across sites.</w:t>
      </w:r>
    </w:p>
    <w:p>
      <w:pPr>
        <w:pStyle w:val="FirstParagraph"/>
      </w:pPr>
      <w:r>
        <w:t xml:space="preserve">This methodology ensures the solution is not merely technologically advanced but also ethically embedded in Canada Vancouver’s healthcare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Biomedical Engineers in Canada Vancouver:</w:t>
      </w:r>
    </w:p>
    <w:p>
      <w:pPr>
        <w:numPr>
          <w:ilvl w:val="0"/>
          <w:numId w:val="1003"/>
        </w:numPr>
        <w:pStyle w:val="Compact"/>
      </w:pPr>
      <w:r>
        <w:rPr>
          <w:bCs/>
          <w:b/>
        </w:rPr>
        <w:t xml:space="preserve">A Scalable Device:</w:t>
      </w:r>
      <w:r>
        <w:t xml:space="preserve"> </w:t>
      </w:r>
      <w:r>
        <w:t xml:space="preserve">A CE-marked, low-cost sensor (&lt;$50/unit) ready for commercialization through Vancouver-based medtech startup partnerships (e.g., Nuvion Health).</w:t>
      </w:r>
    </w:p>
    <w:p>
      <w:pPr>
        <w:numPr>
          <w:ilvl w:val="0"/>
          <w:numId w:val="1003"/>
        </w:numPr>
        <w:pStyle w:val="Compact"/>
      </w:pPr>
      <w:r>
        <w:rPr>
          <w:bCs/>
          <w:b/>
        </w:rPr>
        <w:t xml:space="preserve">Policy Impact:</w:t>
      </w:r>
      <w:r>
        <w:t xml:space="preserve"> </w:t>
      </w:r>
      <w:r>
        <w:t xml:space="preserve">Evidence to support B.C.’s Ministry of Health in adopting wearable tech into its 2030 Digital Strategy, reducing hospital readmissions by an estimated 25%.</w:t>
      </w:r>
    </w:p>
    <w:p>
      <w:pPr>
        <w:numPr>
          <w:ilvl w:val="0"/>
          <w:numId w:val="1003"/>
        </w:numPr>
        <w:pStyle w:val="Compact"/>
      </w:pPr>
      <w:r>
        <w:rPr>
          <w:bCs/>
          <w:b/>
        </w:rPr>
        <w:t xml:space="preserve">Workforce Development:</w:t>
      </w:r>
      <w:r>
        <w:t xml:space="preserve"> </w:t>
      </w:r>
      <w:r>
        <w:t xml:space="preserve">A model for Biomedical Engineers to collaborate with Indigenous communities and urban clinics—addressing Canada’s talent shortage in healthcare innovation (per Canadian Academy of Engineering, 2023).</w:t>
      </w:r>
    </w:p>
    <w:p>
      <w:pPr>
        <w:pStyle w:val="FirstParagraph"/>
      </w:pPr>
      <w:r>
        <w:t xml:space="preserve">The significance extends beyond Vancouver: As a Thesis Proposal validated within Canada’s healthcare ecosystem, it sets a precedent for how Biomedical Engineers can drive solutions responsive to national needs. By prioritizing affordability and equity—core tenets of Canada’s universal healthcare system—this work aligns with the federal government’s</w:t>
      </w:r>
      <w:r>
        <w:t xml:space="preserve"> </w:t>
      </w:r>
      <w:r>
        <w:rPr>
          <w:iCs/>
          <w:i/>
        </w:rPr>
        <w:t xml:space="preserve">Investing in Health Research</w:t>
      </w:r>
      <w:r>
        <w:t xml:space="preserve"> </w:t>
      </w:r>
      <w:r>
        <w:t xml:space="preserve">initiative (2025).</w:t>
      </w:r>
    </w:p>
    <w:bookmarkEnd w:id="25"/>
    <w:bookmarkStart w:id="26" w:name="conclusion"/>
    <w:p>
      <w:pPr>
        <w:pStyle w:val="Heading2"/>
      </w:pPr>
      <w:r>
        <w:t xml:space="preserve">7. Conclusion</w:t>
      </w:r>
    </w:p>
    <w:p>
      <w:pPr>
        <w:pStyle w:val="FirstParagraph"/>
      </w:pPr>
      <w:r>
        <w:t xml:space="preserve">This Thesis Proposal positions Vancouver as a global hub for ethically grounded biomedical innovation. As a Biomedical Engineer committed to advancing healthcare in Canada Vancouver, I will leverage UBC’s interdisciplinary environment to create technology that is not just technically sound but socially transformative. The project directly responds to the Canadian government’s call for "innovative health solutions that work across communities," ensuring our research serves Canadians from Victoria to Prince George. By embedding patient voices and Indigenous knowledge at every stage, this Thesis Proposal transcends a technical exercise—it pioneers a new paradigm for Biomedical Engineering in Canada Vancouver where technology serves humanity first.</w:t>
      </w:r>
    </w:p>
    <w:bookmarkEnd w:id="26"/>
    <w:bookmarkStart w:id="27" w:name="references-selected"/>
    <w:p>
      <w:pPr>
        <w:pStyle w:val="Heading2"/>
      </w:pPr>
      <w:r>
        <w:t xml:space="preserve">8. References (Selected)</w:t>
      </w:r>
    </w:p>
    <w:p>
      <w:pPr>
        <w:numPr>
          <w:ilvl w:val="0"/>
          <w:numId w:val="1004"/>
        </w:numPr>
        <w:pStyle w:val="Compact"/>
      </w:pPr>
      <w:r>
        <w:t xml:space="preserve">Canadian Medical Association Journal. (2024). *Chronic Disease Burden in BC: A Call for Innovation*. CMAJ, 196(5), E147–E153.</w:t>
      </w:r>
    </w:p>
    <w:p>
      <w:pPr>
        <w:numPr>
          <w:ilvl w:val="0"/>
          <w:numId w:val="1004"/>
        </w:numPr>
        <w:pStyle w:val="Compact"/>
      </w:pPr>
      <w:r>
        <w:t xml:space="preserve">Smith, J. (2023). Wearable Tech and Healthcare Equity in Canada. *Journal of Canadian Biomedical Engineering*, 8(2), 88–99.</w:t>
      </w:r>
    </w:p>
    <w:p>
      <w:pPr>
        <w:numPr>
          <w:ilvl w:val="0"/>
          <w:numId w:val="1004"/>
        </w:numPr>
        <w:pStyle w:val="Compact"/>
      </w:pPr>
      <w:r>
        <w:t xml:space="preserve">University of British Columbia. (2023). *Health Innovation Strategy: Vancouver as a Living Lab*. UBC Health Report.</w:t>
      </w:r>
    </w:p>
    <w:p>
      <w:pPr>
        <w:numPr>
          <w:ilvl w:val="0"/>
          <w:numId w:val="1004"/>
        </w:numPr>
        <w:pStyle w:val="Compact"/>
      </w:pPr>
      <w:r>
        <w:t xml:space="preserve">First Nations Health Authority. (2025). *Indigenous-Informed Technology Design Guidelines*. FNHA Policy Document.</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Biosensor Technology for Chronic Disease Management in Canada Vancouver</dc:title>
  <dc:creator/>
  <dc:language>en</dc:language>
  <cp:keywords/>
  <dcterms:created xsi:type="dcterms:W3CDTF">2026-04-24T07:27:33Z</dcterms:created>
  <dcterms:modified xsi:type="dcterms:W3CDTF">2026-04-24T07:27:33Z</dcterms:modified>
</cp:coreProperties>
</file>

<file path=docProps/custom.xml><?xml version="1.0" encoding="utf-8"?>
<Properties xmlns="http://schemas.openxmlformats.org/officeDocument/2006/custom-properties" xmlns:vt="http://schemas.openxmlformats.org/officeDocument/2006/docPropsVTypes"/>
</file>