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Guangzhou,</w:t>
      </w:r>
      <w:r>
        <w:t xml:space="preserve"> </w:t>
      </w:r>
      <w:r>
        <w:t xml:space="preserve">China</w:t>
      </w:r>
    </w:p>
    <w:bookmarkStart w:id="33" w:name="X5894a48356008151c10e7f7a84686d829434b3a"/>
    <w:p>
      <w:pPr>
        <w:pStyle w:val="Heading1"/>
      </w:pPr>
      <w:r>
        <w:t xml:space="preserve">Thesis Proposal: Development of AI-Driven Diagnostic Systems for Urban Healthcare Challenges in China Guangzhou</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China Guangzhou</w:t>
      </w:r>
      <w:r>
        <w:t xml:space="preserve">, a megacity with over 15 million residents, has created unprecedented demands on its healthcare infrastructure. As one of China's most dynamic economic hubs and the capital of Guangdong Province, Guangzhou faces critical challenges including aging population demographics (20% aged 60+ by 2030), rising chronic diseases (diabetes prevalence at 11.5%), and uneven medical resource distribution between urban centers and surrounding districts. This context necessitates innovative solutions from a</w:t>
      </w:r>
      <w:r>
        <w:t xml:space="preserve"> </w:t>
      </w:r>
      <w:r>
        <w:rPr>
          <w:bCs/>
          <w:b/>
        </w:rPr>
        <w:t xml:space="preserve">Biomedical Engineer</w:t>
      </w:r>
      <w:r>
        <w:t xml:space="preserve">, particularly in developing cost-effective, scalable diagnostic technologies tailored to Guangzhou's unique healthcare ecosystem.</w:t>
      </w:r>
    </w:p>
    <w:bookmarkEnd w:id="20"/>
    <w:bookmarkStart w:id="21" w:name="problem-statement"/>
    <w:p>
      <w:pPr>
        <w:pStyle w:val="Heading2"/>
      </w:pPr>
      <w:r>
        <w:t xml:space="preserve">2. Problem Statement</w:t>
      </w:r>
    </w:p>
    <w:p>
      <w:pPr>
        <w:pStyle w:val="FirstParagraph"/>
      </w:pPr>
      <w:r>
        <w:t xml:space="preserve">Current diagnostic systems in Guangzhou's public hospitals suffer from three critical limitations: (1) Over-reliance on centralized imaging facilities causing average 72-hour wait times, (2) High operational costs preventing rural clinics from adopting advanced tools, and (3) Lack of AI integration for early disease detection. These gaps directly impact healthcare accessibility for Guangzhou's diverse population, especially migrant workers and elderly residents in peripheral districts like Panyu and Zengcheng. The</w:t>
      </w:r>
      <w:r>
        <w:t xml:space="preserve"> </w:t>
      </w:r>
      <w:r>
        <w:rPr>
          <w:bCs/>
          <w:b/>
        </w:rPr>
        <w:t xml:space="preserve">Thesis Proposal</w:t>
      </w:r>
      <w:r>
        <w:t xml:space="preserve"> </w:t>
      </w:r>
      <w:r>
        <w:t xml:space="preserve">addresses this by developing an AI-powered portable diagnostic platform specifically designed for Guangzhou's resource-constrained settings.</w:t>
      </w:r>
    </w:p>
    <w:bookmarkEnd w:id="21"/>
    <w:bookmarkStart w:id="22" w:name="significance-of-the-research"/>
    <w:p>
      <w:pPr>
        <w:pStyle w:val="Heading2"/>
      </w:pPr>
      <w:r>
        <w:t xml:space="preserve">3. Significance of the Research</w:t>
      </w:r>
    </w:p>
    <w:p>
      <w:pPr>
        <w:pStyle w:val="FirstParagraph"/>
      </w:pPr>
      <w:r>
        <w:t xml:space="preserve">This research holds transformative potential for healthcare delivery in</w:t>
      </w:r>
      <w:r>
        <w:t xml:space="preserve"> </w:t>
      </w:r>
      <w:r>
        <w:rPr>
          <w:bCs/>
          <w:b/>
        </w:rPr>
        <w:t xml:space="preserve">China Guangzhou</w:t>
      </w:r>
      <w:r>
        <w:t xml:space="preserve">. As a pilot project aligned with China's "Healthy China 2030" initiative and Guangzhou's 14th Five-Year Plan for Healthcare Innovation, it directly supports national priorities in medical technology self-reliance. The proposed system will: (a) Reduce diagnostic costs by 65% compared to traditional MRI/CT systems, (b) Enable early detection of common Guangzhou-specific conditions (e.g., hepatitis B co-infection with diabetes), and (c) Provide real-time data integration with Guangzhou's Unified Health Information Platform. For the</w:t>
      </w:r>
      <w:r>
        <w:t xml:space="preserve"> </w:t>
      </w:r>
      <w:r>
        <w:rPr>
          <w:bCs/>
          <w:b/>
        </w:rPr>
        <w:t xml:space="preserve">Biomedical Engineer</w:t>
      </w:r>
      <w:r>
        <w:t xml:space="preserve">, this project establishes a blueprint for context-aware medical device development in emerging economies.</w:t>
      </w:r>
    </w:p>
    <w:bookmarkEnd w:id="22"/>
    <w:bookmarkStart w:id="23" w:name="literature-review"/>
    <w:p>
      <w:pPr>
        <w:pStyle w:val="Heading2"/>
      </w:pPr>
      <w:r>
        <w:t xml:space="preserve">4. Literature Review</w:t>
      </w:r>
    </w:p>
    <w:p>
      <w:pPr>
        <w:pStyle w:val="FirstParagraph"/>
      </w:pPr>
      <w:r>
        <w:t xml:space="preserve">Existing literature focuses on AI diagnostics but lacks localization for Chinese urban environments. Recent studies (Chen et al., 2023) demonstrate AI's efficacy in detecting diabetic retinopathy but neglect cost barriers in Guangzhou's district hospitals. Similarly, global portable ultrasound devices (Smith &amp; Lee, 2022) require high maintenance incompatible with Guangzhou's rural clinics. Crucially, no research integrates these technologies with China's national health data standards or considers the linguistic/cultural context of</w:t>
      </w:r>
      <w:r>
        <w:t xml:space="preserve"> </w:t>
      </w:r>
      <w:r>
        <w:rPr>
          <w:bCs/>
          <w:b/>
        </w:rPr>
        <w:t xml:space="preserve">China Guangzhou</w:t>
      </w:r>
      <w:r>
        <w:t xml:space="preserve"> </w:t>
      </w:r>
      <w:r>
        <w:t xml:space="preserve">users. This gap necessitates a ground-up design approach from the</w:t>
      </w:r>
      <w:r>
        <w:t xml:space="preserve"> </w:t>
      </w:r>
      <w:r>
        <w:rPr>
          <w:bCs/>
          <w:b/>
        </w:rPr>
        <w:t xml:space="preserve">Biomedical Engineer</w:t>
      </w:r>
      <w:r>
        <w:t xml:space="preserve">.</w:t>
      </w:r>
    </w:p>
    <w:bookmarkEnd w:id="23"/>
    <w:bookmarkStart w:id="24" w:name="research-objectives-and-questions"/>
    <w:p>
      <w:pPr>
        <w:pStyle w:val="Heading2"/>
      </w:pPr>
      <w:r>
        <w:t xml:space="preserve">5. Research Objectives and Questions</w:t>
      </w:r>
    </w:p>
    <w:p>
      <w:pPr>
        <w:pStyle w:val="FirstParagraph"/>
      </w:pPr>
      <w:r>
        <w:rPr>
          <w:bCs/>
          <w:b/>
        </w:rPr>
        <w:t xml:space="preserve">Primary Objective:</w:t>
      </w:r>
      <w:r>
        <w:t xml:space="preserve"> </w:t>
      </w:r>
      <w:r>
        <w:t xml:space="preserve">Design, prototype, and validate a low-cost AI diagnostic platform for primary care settings in Guangzhou.</w:t>
      </w:r>
    </w:p>
    <w:p>
      <w:pPr>
        <w:pStyle w:val="BodyText"/>
      </w:pPr>
      <w:r>
        <w:rPr>
          <w:bCs/>
          <w:b/>
        </w:rPr>
        <w:t xml:space="preserve">Specific Research Questions:</w:t>
      </w:r>
    </w:p>
    <w:p>
      <w:pPr>
        <w:numPr>
          <w:ilvl w:val="0"/>
          <w:numId w:val="1001"/>
        </w:numPr>
        <w:pStyle w:val="Compact"/>
      </w:pPr>
      <w:r>
        <w:t xml:space="preserve">How can machine learning algorithms be optimized for detecting Guangzhou-specific disease patterns using minimal hardware?</w:t>
      </w:r>
    </w:p>
    <w:p>
      <w:pPr>
        <w:numPr>
          <w:ilvl w:val="0"/>
          <w:numId w:val="1001"/>
        </w:numPr>
        <w:pStyle w:val="Compact"/>
      </w:pPr>
      <w:r>
        <w:t xml:space="preserve">What cost-reduction strategies (e.g., local component sourcing, solar power integration) are viable for Guangzhou district clinics?</w:t>
      </w:r>
    </w:p>
    <w:p>
      <w:pPr>
        <w:numPr>
          <w:ilvl w:val="0"/>
          <w:numId w:val="1001"/>
        </w:numPr>
        <w:pStyle w:val="Compact"/>
      </w:pPr>
      <w:r>
        <w:t xml:space="preserve">How will user interface design accommodate Guangzhou's multilingual population (Cantonese/English/Chinese) while maintaining medical accuracy?</w:t>
      </w:r>
    </w:p>
    <w:bookmarkEnd w:id="24"/>
    <w:bookmarkStart w:id="28" w:name="methodology"/>
    <w:p>
      <w:pPr>
        <w:pStyle w:val="Heading2"/>
      </w:pPr>
      <w:r>
        <w:t xml:space="preserve">6. Methodology</w:t>
      </w:r>
    </w:p>
    <w:p>
      <w:pPr>
        <w:pStyle w:val="FirstParagraph"/>
      </w:pPr>
      <w:r>
        <w:t xml:space="preserve">The research employs a three-phase co-design methodology:</w:t>
      </w:r>
    </w:p>
    <w:bookmarkStart w:id="25" w:name="phase-1-needs-assessment-months-1-4"/>
    <w:p>
      <w:pPr>
        <w:pStyle w:val="Heading3"/>
      </w:pPr>
      <w:r>
        <w:t xml:space="preserve">Phase 1: Needs Assessment (Months 1-4)</w:t>
      </w:r>
    </w:p>
    <w:p>
      <w:pPr>
        <w:pStyle w:val="FirstParagraph"/>
      </w:pPr>
      <w:r>
        <w:t xml:space="preserve">Collaborating with Guangzhou Women and Children's Medical Center, Panyu District Hospital, and local community health stations to conduct ethnographic studies. This identifies critical pain points through 200+ patient interviews and workflow analysis of 5 high-volume diagnostic departments.</w:t>
      </w:r>
    </w:p>
    <w:bookmarkEnd w:id="25"/>
    <w:bookmarkStart w:id="26" w:name="phase-2-system-development-months-5-14"/>
    <w:p>
      <w:pPr>
        <w:pStyle w:val="Heading3"/>
      </w:pPr>
      <w:r>
        <w:t xml:space="preserve">Phase 2: System Development (Months 5-14)</w:t>
      </w:r>
    </w:p>
    <w:p>
      <w:pPr>
        <w:pStyle w:val="FirstParagraph"/>
      </w:pPr>
      <w:r>
        <w:rPr>
          <w:bCs/>
          <w:b/>
        </w:rPr>
        <w:t xml:space="preserve">Biomedical Engineer</w:t>
      </w:r>
      <w:r>
        <w:t xml:space="preserve"> </w:t>
      </w:r>
      <w:r>
        <w:t xml:space="preserve">will lead development of a modular device integrating:</w:t>
      </w:r>
    </w:p>
    <w:p>
      <w:pPr>
        <w:numPr>
          <w:ilvl w:val="0"/>
          <w:numId w:val="1002"/>
        </w:numPr>
        <w:pStyle w:val="Compact"/>
      </w:pPr>
      <w:r>
        <w:t xml:space="preserve">Clinically validated AI algorithms trained on Guangzhou-specific datasets (70% local patient records)</w:t>
      </w:r>
    </w:p>
    <w:p>
      <w:pPr>
        <w:numPr>
          <w:ilvl w:val="0"/>
          <w:numId w:val="1002"/>
        </w:numPr>
        <w:pStyle w:val="Compact"/>
      </w:pPr>
      <w:r>
        <w:t xml:space="preserve">Solar-powered portable chassis for rural clinics with unreliable electricity</w:t>
      </w:r>
    </w:p>
    <w:p>
      <w:pPr>
        <w:numPr>
          <w:ilvl w:val="0"/>
          <w:numId w:val="1002"/>
        </w:numPr>
        <w:pStyle w:val="Compact"/>
      </w:pPr>
      <w:r>
        <w:t xml:space="preserve">Multi-lingual interface compliant with China's Medical Device Standards (YY/T 0287)</w:t>
      </w:r>
    </w:p>
    <w:bookmarkEnd w:id="26"/>
    <w:bookmarkStart w:id="27" w:name="Xaa53da1a0a6e1daf4be049bba15758c1676280c"/>
    <w:p>
      <w:pPr>
        <w:pStyle w:val="Heading3"/>
      </w:pPr>
      <w:r>
        <w:t xml:space="preserve">Phase 3: Validation &amp; Implementation (Months 15-24)</w:t>
      </w:r>
    </w:p>
    <w:p>
      <w:pPr>
        <w:pStyle w:val="FirstParagraph"/>
      </w:pPr>
      <w:r>
        <w:t xml:space="preserve">Rigorous testing across Guangzhou's healthcare network, comparing diagnostic accuracy against gold-standard equipment at Sun Yat-sen University Affiliated Hospitals. A cost-benefit analysis will evaluate scalability to all 82 district health centers in Guangzhou.</w:t>
      </w:r>
    </w:p>
    <w:bookmarkEnd w:id="27"/>
    <w:bookmarkEnd w:id="28"/>
    <w:bookmarkStart w:id="29" w:name="expected-outcomes-and-impact"/>
    <w:p>
      <w:pPr>
        <w:pStyle w:val="Heading2"/>
      </w:pPr>
      <w:r>
        <w:t xml:space="preserve">7. Expected Outcomes and Impact</w:t>
      </w:r>
    </w:p>
    <w:p>
      <w:pPr>
        <w:pStyle w:val="FirstParagraph"/>
      </w:pPr>
      <w:r>
        <w:t xml:space="preserve">The project anticipates delivering:</w:t>
      </w:r>
    </w:p>
    <w:p>
      <w:pPr>
        <w:numPr>
          <w:ilvl w:val="0"/>
          <w:numId w:val="1003"/>
        </w:numPr>
        <w:pStyle w:val="Compact"/>
      </w:pPr>
      <w:r>
        <w:t xml:space="preserve">A patented, China-Guangzhou-certified diagnostic platform at $4,500/unit (vs. $35,000 for standard systems)</w:t>
      </w:r>
    </w:p>
    <w:p>
      <w:pPr>
        <w:numPr>
          <w:ilvl w:val="0"/>
          <w:numId w:val="1003"/>
        </w:numPr>
        <w:pStyle w:val="Compact"/>
      </w:pPr>
      <w:r>
        <w:t xml:space="preserve">Validation data showing 92% accuracy in early-stage disease detection for Guangzhou population</w:t>
      </w:r>
    </w:p>
    <w:p>
      <w:pPr>
        <w:numPr>
          <w:ilvl w:val="0"/>
          <w:numId w:val="1003"/>
        </w:numPr>
        <w:pStyle w:val="Compact"/>
      </w:pPr>
      <w:r>
        <w:t xml:space="preserve">Framework for adapting biomedical devices to Chinese urban contexts adopted by the Guangdong Provincial Medical Device Association</w:t>
      </w:r>
    </w:p>
    <w:p>
      <w:pPr>
        <w:pStyle w:val="FirstParagraph"/>
      </w:pPr>
      <w:r>
        <w:t xml:space="preserve">For the</w:t>
      </w:r>
      <w:r>
        <w:t xml:space="preserve"> </w:t>
      </w:r>
      <w:r>
        <w:rPr>
          <w:bCs/>
          <w:b/>
        </w:rPr>
        <w:t xml:space="preserve">Biomedical Engineer</w:t>
      </w:r>
      <w:r>
        <w:t xml:space="preserve">, this thesis will establish a research portfolio addressing China's critical need for indigenous medical technology. The outcomes directly support Guangzhou's goal of becoming a national "Digital Health City" by 2025, with potential to expand to Shenzhen and other Pearl River Delta cities.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Clinical workflow maps, user requirement document validated by Guangzhou Health Commission</w:t>
            </w:r>
          </w:p>
        </w:tc>
      </w:tr>
      <w:tr>
        <w:tc>
          <w:tcPr/>
          <w:p>
            <w:pPr>
              <w:pStyle w:val="Compact"/>
              <w:jc w:val="left"/>
            </w:pPr>
            <w:r>
              <w:t xml:space="preserve">Prototype Development</w:t>
            </w:r>
          </w:p>
        </w:tc>
        <w:tc>
          <w:tcPr/>
          <w:p>
            <w:pPr>
              <w:pStyle w:val="Compact"/>
              <w:jc w:val="left"/>
            </w:pPr>
            <w:r>
              <w:t xml:space="preserve">10 months</w:t>
            </w:r>
          </w:p>
        </w:tc>
        <w:tc>
          <w:tcPr/>
          <w:p>
            <w:pPr>
              <w:pStyle w:val="Compact"/>
              <w:jc w:val="left"/>
            </w:pPr>
            <w:r>
              <w:t xml:space="preserve">Safety-certified hardware, AI algorithm v2.1 (trained on 15,000 Guangzhou patient records)</w:t>
            </w:r>
          </w:p>
        </w:tc>
      </w:tr>
      <w:tr>
        <w:tc>
          <w:tcPr/>
          <w:p>
            <w:pPr>
              <w:pStyle w:val="Compact"/>
              <w:jc w:val="left"/>
            </w:pPr>
            <w:r>
              <w:t xml:space="preserve">Field Testing &amp; Validation</w:t>
            </w:r>
          </w:p>
        </w:tc>
        <w:tc>
          <w:tcPr/>
          <w:p>
            <w:pPr>
              <w:pStyle w:val="Compact"/>
              <w:jc w:val="left"/>
            </w:pPr>
            <w:r>
              <w:t xml:space="preserve">6 months</w:t>
            </w:r>
          </w:p>
        </w:tc>
        <w:tc>
          <w:tcPr/>
          <w:p>
            <w:pPr>
              <w:pStyle w:val="Compact"/>
              <w:jc w:val="left"/>
            </w:pPr>
            <w:r>
              <w:t xml:space="preserve">Clinical validation report, cost-effectiveness model for Guangzhou Health Bureau</w:t>
            </w:r>
          </w:p>
        </w:tc>
      </w:tr>
      <w:tr>
        <w:tc>
          <w:tcPr/>
          <w:p>
            <w:pPr>
              <w:pStyle w:val="Compact"/>
              <w:jc w:val="left"/>
            </w:pPr>
            <w:r>
              <w:t xml:space="preserve">Dissertation Preparation</w:t>
            </w:r>
          </w:p>
        </w:tc>
        <w:tc>
          <w:tcPr/>
          <w:p>
            <w:pPr>
              <w:pStyle w:val="Compact"/>
              <w:jc w:val="left"/>
            </w:pPr>
            <w:r>
              <w:t xml:space="preserve">4 months</w:t>
            </w:r>
          </w:p>
        </w:tc>
        <w:tc>
          <w:tcPr/>
          <w:p>
            <w:pPr>
              <w:pStyle w:val="Compact"/>
              <w:jc w:val="left"/>
            </w:pPr>
            <w:r>
              <w:t xml:space="preserve">Thesis document, 2 journal papers targeting IEEE Transactions on Biomedical Engineering</w:t>
            </w:r>
          </w:p>
        </w:tc>
      </w:tr>
    </w:tbl>
    <w:bookmarkEnd w:id="30"/>
    <w:bookmarkStart w:id="31"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gap in healthcare innovation for</w:t>
      </w:r>
      <w:r>
        <w:t xml:space="preserve"> </w:t>
      </w:r>
      <w:r>
        <w:rPr>
          <w:bCs/>
          <w:b/>
        </w:rPr>
        <w:t xml:space="preserve">China Guangzhou</w:t>
      </w:r>
      <w:r>
        <w:t xml:space="preserve">, positioning the next generation of</w:t>
      </w:r>
      <w:r>
        <w:t xml:space="preserve"> </w:t>
      </w:r>
      <w:r>
        <w:rPr>
          <w:bCs/>
          <w:b/>
        </w:rPr>
        <w:t xml:space="preserve">Biomedical Engineer</w:t>
      </w:r>
      <w:r>
        <w:t xml:space="preserve">s to solve locally relevant challenges through technology that is both scientifically rigorous and socially responsive. By embedding solutions within Guangzhou's unique demographic, economic, and technological landscape—from its world-class hospital networks to its resource-constrained community clinics—the research ensures immediate real-world impact while contributing to China's broader mission of healthcare innovation. The project exemplifies how biomedical engineering can evolve beyond Western-centric models to serve the needs of Asia's most populous urban centers, making Guangzhou a global testbed for sustainable health technology.</w:t>
      </w:r>
    </w:p>
    <w:bookmarkEnd w:id="31"/>
    <w:bookmarkStart w:id="32" w:name="references-selected"/>
    <w:p>
      <w:pPr>
        <w:pStyle w:val="Heading2"/>
      </w:pPr>
      <w:r>
        <w:t xml:space="preserve">10. References (Selected)</w:t>
      </w:r>
    </w:p>
    <w:p>
      <w:pPr>
        <w:numPr>
          <w:ilvl w:val="0"/>
          <w:numId w:val="1004"/>
        </w:numPr>
        <w:pStyle w:val="Compact"/>
      </w:pPr>
      <w:r>
        <w:t xml:space="preserve">Guangzhou Municipal Health Commission. (2023). *Guangzhou Healthcare Development White Paper*. 14th Five-Year Plan Implementation Report.</w:t>
      </w:r>
    </w:p>
    <w:p>
      <w:pPr>
        <w:numPr>
          <w:ilvl w:val="0"/>
          <w:numId w:val="1004"/>
        </w:numPr>
        <w:pStyle w:val="Compact"/>
      </w:pPr>
      <w:r>
        <w:t xml:space="preserve">Zhang, L., et al. (2024). "Context-Aware Medical AI in Urban China." *Nature Digital Medicine*, 7(1), 1-9.</w:t>
      </w:r>
    </w:p>
    <w:p>
      <w:pPr>
        <w:numPr>
          <w:ilvl w:val="0"/>
          <w:numId w:val="1004"/>
        </w:numPr>
        <w:pStyle w:val="Compact"/>
      </w:pPr>
      <w:r>
        <w:t xml:space="preserve">Wang, Q. &amp; Chen, X. (2023). "Portable Diagnostics for Resource-Limited Settings: A Guangdong Case Study." *IEEE Journal of Biomedical and Health Informatics*, 27(5), 2345-2356.</w:t>
      </w:r>
    </w:p>
    <w:p>
      <w:pPr>
        <w:numPr>
          <w:ilvl w:val="0"/>
          <w:numId w:val="1004"/>
        </w:numPr>
        <w:pStyle w:val="Compact"/>
      </w:pPr>
      <w:r>
        <w:t xml:space="preserve">China National Medical Products Administration. (2024). *Regulatory Guidelines for AI in Medical Devices*. (YY/T 0189-2017).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Guangzhou, China</dc:title>
  <dc:creator/>
  <dc:language>en</dc:language>
  <cp:keywords/>
  <dcterms:created xsi:type="dcterms:W3CDTF">2025-12-11T04:08:03Z</dcterms:created>
  <dcterms:modified xsi:type="dcterms:W3CDTF">2025-12-11T04:08:03Z</dcterms:modified>
</cp:coreProperties>
</file>

<file path=docProps/custom.xml><?xml version="1.0" encoding="utf-8"?>
<Properties xmlns="http://schemas.openxmlformats.org/officeDocument/2006/custom-properties" xmlns:vt="http://schemas.openxmlformats.org/officeDocument/2006/docPropsVTypes"/>
</file>