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Iran</w:t>
      </w:r>
      <w:r>
        <w:t xml:space="preserve"> </w:t>
      </w:r>
      <w:r>
        <w:t xml:space="preserve">Tehran</w:t>
      </w:r>
      <w:r>
        <w:t xml:space="preserve"> </w:t>
      </w:r>
      <w:r>
        <w:t xml:space="preserve">through</w:t>
      </w:r>
      <w:r>
        <w:t xml:space="preserve"> </w:t>
      </w:r>
      <w:r>
        <w:t xml:space="preserve">Biomedical</w:t>
      </w:r>
      <w:r>
        <w:t xml:space="preserve"> </w:t>
      </w:r>
      <w:r>
        <w:t xml:space="preserve">Engineering</w:t>
      </w:r>
    </w:p>
    <w:bookmarkStart w:id="29" w:name="Xaed4c295a32df1f75b91f2fc010bd124dc0bd18"/>
    <w:p>
      <w:pPr>
        <w:pStyle w:val="Heading1"/>
      </w:pPr>
      <w:r>
        <w:t xml:space="preserve">Thesis Proposal: Development of Low-Cost Point-of-Care Diagnostic Systems for Chronic Disease Management in Urban Iran Tehran Context</w:t>
      </w:r>
    </w:p>
    <w:bookmarkStart w:id="20" w:name="introduction-and-background"/>
    <w:p>
      <w:pPr>
        <w:pStyle w:val="Heading2"/>
      </w:pPr>
      <w:r>
        <w:t xml:space="preserve">1. Introduction and Background</w:t>
      </w:r>
    </w:p>
    <w:p>
      <w:pPr>
        <w:pStyle w:val="FirstParagraph"/>
      </w:pPr>
      <w:r>
        <w:t xml:space="preserve">The growing burden of chronic diseases in Iran, particularly in densely populated urban centers like Tehran, presents a critical challenge for the national healthcare system. With over 5 million Iranians diagnosed with diabetes and cardiovascular conditions, access to early diagnostic tools remains severely limited outside specialized hospitals in Tehran</w:t>
      </w:r>
      <w:r>
        <w:rPr>
          <w:vertAlign w:val="superscript"/>
        </w:rPr>
        <w:t xml:space="preserve">[1]</w:t>
      </w:r>
      <w:r>
        <w:t xml:space="preserve">. This gap underscores the urgent need for innovative solutions designed by a skilled</w:t>
      </w:r>
      <w:r>
        <w:t xml:space="preserve"> </w:t>
      </w:r>
      <w:r>
        <w:rPr>
          <w:bCs/>
          <w:b/>
        </w:rPr>
        <w:t xml:space="preserve">Biomedical Engineer</w:t>
      </w:r>
      <w:r>
        <w:t xml:space="preserve"> </w:t>
      </w:r>
      <w:r>
        <w:t xml:space="preserve">who understands Iran's unique healthcare infrastructure, socioeconomic constraints, and cultural context. As the capital city of Iran with 9 million residents, Tehran faces disproportionate strain on its healthcare facilities due to population density and resource distribution challenges. This</w:t>
      </w:r>
      <w:r>
        <w:t xml:space="preserve"> </w:t>
      </w:r>
      <w:r>
        <w:rPr>
          <w:bCs/>
          <w:b/>
        </w:rPr>
        <w:t xml:space="preserve">Thesis Proposal</w:t>
      </w:r>
      <w:r>
        <w:t xml:space="preserve"> </w:t>
      </w:r>
      <w:r>
        <w:t xml:space="preserve">outlines a research initiative to develop affordable diagnostic technology specifically tailored for Tehran's underserved communities, positioning a</w:t>
      </w:r>
      <w:r>
        <w:t xml:space="preserve"> </w:t>
      </w:r>
      <w:r>
        <w:rPr>
          <w:bCs/>
          <w:b/>
        </w:rPr>
        <w:t xml:space="preserve">Biomedical Engineer</w:t>
      </w:r>
      <w:r>
        <w:t xml:space="preserve"> </w:t>
      </w:r>
      <w:r>
        <w:t xml:space="preserve">as the catalyst for sustainable healthcare innovation in Iran.</w:t>
      </w:r>
    </w:p>
    <w:bookmarkEnd w:id="20"/>
    <w:bookmarkStart w:id="21" w:name="problem-statement-and-research-gap"/>
    <w:p>
      <w:pPr>
        <w:pStyle w:val="Heading2"/>
      </w:pPr>
      <w:r>
        <w:t xml:space="preserve">2. Problem Statement and Research Gap</w:t>
      </w:r>
    </w:p>
    <w:p>
      <w:pPr>
        <w:pStyle w:val="FirstParagraph"/>
      </w:pPr>
      <w:r>
        <w:t xml:space="preserve">Current diagnostic systems in Tehran rely heavily on imported equipment (65% of medical devices are imported), creating financial barriers for 40% of Tehran's population living below the poverty line</w:t>
      </w:r>
      <w:r>
        <w:rPr>
          <w:vertAlign w:val="superscript"/>
        </w:rPr>
        <w:t xml:space="preserve">[2]</w:t>
      </w:r>
      <w:r>
        <w:t xml:space="preserve">. Traditional laboratory-based testing requires multiple patient visits, time-intensive processing, and expensive reagents—impractical for Tehran's high-volume public clinics. While global biomedical engineering advancements exist, most solutions are designed for Western healthcare systems without adapting to Iran's resource constraints or cultural norms. This research gap represents a missed opportunity: Iranian</w:t>
      </w:r>
      <w:r>
        <w:t xml:space="preserve"> </w:t>
      </w:r>
      <w:r>
        <w:rPr>
          <w:bCs/>
          <w:b/>
        </w:rPr>
        <w:t xml:space="preserve">Biomedical Engineer</w:t>
      </w:r>
      <w:r>
        <w:t xml:space="preserve">s possess the technical expertise to bridge this divide through locally relevant innovation. Our</w:t>
      </w:r>
      <w:r>
        <w:t xml:space="preserve"> </w:t>
      </w:r>
      <w:r>
        <w:rPr>
          <w:bCs/>
          <w:b/>
        </w:rPr>
        <w:t xml:space="preserve">Thesis Proposal</w:t>
      </w:r>
      <w:r>
        <w:t xml:space="preserve"> </w:t>
      </w:r>
      <w:r>
        <w:t xml:space="preserve">addresses this by focusing on point-of-care (POC) diagnostics that require minimal infrastructure—critical for Tehran's crowded public health centers like Imam Khomeini Hospital or Shohada-e-Tajrish Clinic.</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Design and prototype a low-cost (&lt;$5/unit), portable diagnostic device for early detection of diabetic retinopathy using smartphone-based image analysis—addressing Tehran's critical shortage of ophthalmologists (1 per 35,000 patients).</w:t>
      </w:r>
    </w:p>
    <w:p>
      <w:pPr>
        <w:numPr>
          <w:ilvl w:val="0"/>
          <w:numId w:val="1001"/>
        </w:numPr>
        <w:pStyle w:val="Compact"/>
      </w:pPr>
      <w:r>
        <w:t xml:space="preserve">Validate the device through clinical trials at three Tehran public health centers, comparing accuracy against gold-standard equipment while accounting for environmental factors like dust and power fluctuations common in urban Iran.</w:t>
      </w:r>
    </w:p>
    <w:p>
      <w:pPr>
        <w:numPr>
          <w:ilvl w:val="0"/>
          <w:numId w:val="1001"/>
        </w:numPr>
        <w:pStyle w:val="Compact"/>
      </w:pPr>
      <w:r>
        <w:t xml:space="preserve">Develop a manufacturing framework using locally sourced materials (e.g., Iranian-made polymers) to ensure scalability within Tehran's industrial ecosystem, reducing dependency on imports.</w:t>
      </w:r>
    </w:p>
    <w:p>
      <w:pPr>
        <w:numPr>
          <w:ilvl w:val="0"/>
          <w:numId w:val="1001"/>
        </w:numPr>
        <w:pStyle w:val="Compact"/>
      </w:pPr>
      <w:r>
        <w:t xml:space="preserve">Evaluate economic viability through cost-benefit analysis against current diagnostic workflows at Tehran's healthcare facilities, targeting 70% cost reduction for public clinics.</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POC diagnostics focuses on high-income countries (e.g., FDA-approved devices in the US/EU), neglecting contexts like Iran Tehran where infrastructure limitations demand alternative approaches</w:t>
      </w:r>
      <w:r>
        <w:rPr>
          <w:vertAlign w:val="superscript"/>
        </w:rPr>
        <w:t xml:space="preserve">[3]</w:t>
      </w:r>
      <w:r>
        <w:t xml:space="preserve">. Recent studies from Turkey and India demonstrate successful adaptation of biosensors for chronic disease screening, yet fail to consider Iran's specific regulatory environment and healthcare financing model</w:t>
      </w:r>
      <w:r>
        <w:rPr>
          <w:vertAlign w:val="superscript"/>
        </w:rPr>
        <w:t xml:space="preserve">[4]</w:t>
      </w:r>
      <w:r>
        <w:t xml:space="preserve">. This research builds on the</w:t>
      </w:r>
      <w:r>
        <w:t xml:space="preserve"> </w:t>
      </w:r>
      <w:r>
        <w:rPr>
          <w:iCs/>
          <w:i/>
        </w:rPr>
        <w:t xml:space="preserve">appropriate technology framework</w:t>
      </w:r>
      <w:r>
        <w:t xml:space="preserve">, emphasizing affordability, cultural appropriateness, and local capacity building—principles validated in Iran's successful solar energy initiatives but underutilized in biomedical engineering. Our approach integrates insights from Tehran University of Medical Sciences' community health programs, which have documented patient barriers to regular screenings (e.g., 68% skip appointments due to transportation costs</w:t>
      </w:r>
      <w:r>
        <w:rPr>
          <w:vertAlign w:val="superscript"/>
        </w:rPr>
        <w:t xml:space="preserve">[5]</w:t>
      </w:r>
      <w:r>
        <w:t xml:space="preserve">).</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Contextual Design Phase (Months 1-4):</w:t>
      </w:r>
      <w:r>
        <w:t xml:space="preserve"> </w:t>
      </w:r>
      <w:r>
        <w:t xml:space="preserve">Collaborate with Tehran-based healthcare workers to co-design the device, incorporating feedback on usability in Persian-speaking populations and Tehran's clinical workflows. Utilize Iran's National Biomedical Engineering Standards for regulatory alignment.</w:t>
      </w:r>
    </w:p>
    <w:p>
      <w:pPr>
        <w:numPr>
          <w:ilvl w:val="0"/>
          <w:numId w:val="1002"/>
        </w:numPr>
        <w:pStyle w:val="Compact"/>
      </w:pPr>
      <w:r>
        <w:rPr>
          <w:bCs/>
          <w:b/>
        </w:rPr>
        <w:t xml:space="preserve">Prototyping and Testing (Months 5-9):</w:t>
      </w:r>
      <w:r>
        <w:t xml:space="preserve"> </w:t>
      </w:r>
      <w:r>
        <w:t xml:space="preserve">Leverage Tehran's emerging tech hubs (e.g., Sharif University Incubator) for rapid prototyping using open-source hardware. Test prototypes in diverse Tehran settings: a high-poverty district (Shahr-e Rey), a middle-income neighborhood (Velenjak), and a university hospital.</w:t>
      </w:r>
    </w:p>
    <w:p>
      <w:pPr>
        <w:numPr>
          <w:ilvl w:val="0"/>
          <w:numId w:val="1002"/>
        </w:numPr>
        <w:pStyle w:val="Compact"/>
      </w:pPr>
      <w:r>
        <w:rPr>
          <w:bCs/>
          <w:b/>
        </w:rPr>
        <w:t xml:space="preserve">Implementation Analysis (Months 10-12):</w:t>
      </w:r>
      <w:r>
        <w:t xml:space="preserve"> </w:t>
      </w:r>
      <w:r>
        <w:t xml:space="preserve">Conduct cost-effectiveness analysis with Iran's Ministry of Health, evaluating potential integration into Tehran's primary healthcare network. Measure impact on patient outcomes through partnership with the Tehran Urban Health Center Network.</w:t>
      </w:r>
    </w:p>
    <w:bookmarkEnd w:id="24"/>
    <w:bookmarkStart w:id="25" w:name="X3d4fd274eea4ebc9eaf830f44060957b95751af"/>
    <w:p>
      <w:pPr>
        <w:pStyle w:val="Heading2"/>
      </w:pPr>
      <w:r>
        <w:t xml:space="preserve">6. Expected Contributions to Biomedical Engineering in Iran Tehran</w:t>
      </w:r>
    </w:p>
    <w:p>
      <w:pPr>
        <w:pStyle w:val="FirstParagraph"/>
      </w:pPr>
      <w:r>
        <w:t xml:space="preserve">This thesis will produce four key contributions for Iran's biomedical engineering landscape:</w:t>
      </w:r>
    </w:p>
    <w:p>
      <w:pPr>
        <w:numPr>
          <w:ilvl w:val="0"/>
          <w:numId w:val="1003"/>
        </w:numPr>
        <w:pStyle w:val="Compact"/>
      </w:pPr>
      <w:r>
        <w:rPr>
          <w:bCs/>
          <w:b/>
        </w:rPr>
        <w:t xml:space="preserve">A locally adaptable diagnostic platform</w:t>
      </w:r>
      <w:r>
        <w:t xml:space="preserve">: A prototype that can be modified for other conditions (e.g., hypertension monitoring) using Tehran's industrial base.</w:t>
      </w:r>
    </w:p>
    <w:p>
      <w:pPr>
        <w:numPr>
          <w:ilvl w:val="0"/>
          <w:numId w:val="1003"/>
        </w:numPr>
        <w:pStyle w:val="Compact"/>
      </w:pPr>
      <w:r>
        <w:rPr>
          <w:bCs/>
          <w:b/>
        </w:rPr>
        <w:t xml:space="preserve">Policy-relevant data</w:t>
      </w:r>
      <w:r>
        <w:t xml:space="preserve">: Evidence demonstrating how locally developed devices reduce healthcare costs, directly informing Iran's 2025 Healthcare Technology Plan.</w:t>
      </w:r>
    </w:p>
    <w:p>
      <w:pPr>
        <w:numPr>
          <w:ilvl w:val="0"/>
          <w:numId w:val="1003"/>
        </w:numPr>
        <w:pStyle w:val="Compact"/>
      </w:pPr>
      <w:r>
        <w:rPr>
          <w:bCs/>
          <w:b/>
        </w:rPr>
        <w:t xml:space="preserve">Talent development framework</w:t>
      </w:r>
      <w:r>
        <w:t xml:space="preserve">: A model for engaging Iranian universities (e.g., Amirkabir University) in community-centered engineering projects, addressing the current shortage of 1,200 certified biomedical engineers in Iran</w:t>
      </w:r>
      <w:r>
        <w:rPr>
          <w:vertAlign w:val="superscript"/>
        </w:rPr>
        <w:t xml:space="preserve">[6]</w:t>
      </w:r>
      <w:r>
        <w:t xml:space="preserve">.</w:t>
      </w:r>
    </w:p>
    <w:p>
      <w:pPr>
        <w:numPr>
          <w:ilvl w:val="0"/>
          <w:numId w:val="1003"/>
        </w:numPr>
        <w:pStyle w:val="Compact"/>
      </w:pPr>
      <w:r>
        <w:rPr>
          <w:bCs/>
          <w:b/>
        </w:rPr>
        <w:t xml:space="preserve">Cultural adaptation blueprint</w:t>
      </w:r>
      <w:r>
        <w:t xml:space="preserve">: Strategies for designing technology that respects patient privacy norms and linguistic needs specific to Tehran's diverse communities.</w:t>
      </w:r>
    </w:p>
    <w:bookmarkEnd w:id="25"/>
    <w:bookmarkStart w:id="26" w:name="Xc5e32c315422db4f7c84769f2b5c04171583db0"/>
    <w:p>
      <w:pPr>
        <w:pStyle w:val="Heading2"/>
      </w:pPr>
      <w:r>
        <w:t xml:space="preserve">7. Timeline and Feasibility in Iran Tehran Context</w:t>
      </w:r>
    </w:p>
    <w:p>
      <w:pPr>
        <w:pStyle w:val="FirstParagraph"/>
      </w:pPr>
      <w:r>
        <w:t xml:space="preserve">The 12-month timeline is designed around Tehran's academic calendar, avoiding peak exam seasons. Critical success factors include:</w:t>
      </w:r>
    </w:p>
    <w:p>
      <w:pPr>
        <w:numPr>
          <w:ilvl w:val="0"/>
          <w:numId w:val="1004"/>
        </w:numPr>
        <w:pStyle w:val="Compact"/>
      </w:pPr>
      <w:r>
        <w:t xml:space="preserve">Access to Tehran University's biomedical labs (approved via MOU with Faculty of Engineering).</w:t>
      </w:r>
    </w:p>
    <w:p>
      <w:pPr>
        <w:numPr>
          <w:ilvl w:val="0"/>
          <w:numId w:val="1004"/>
        </w:numPr>
        <w:pStyle w:val="Compact"/>
      </w:pPr>
      <w:r>
        <w:t xml:space="preserve">Partnerships with Tehran Municipality Health Services for clinical testing sites.</w:t>
      </w:r>
    </w:p>
    <w:p>
      <w:pPr>
        <w:numPr>
          <w:ilvl w:val="0"/>
          <w:numId w:val="1004"/>
        </w:numPr>
        <w:pStyle w:val="Compact"/>
      </w:pPr>
      <w:r>
        <w:t xml:space="preserve">Utilization of Iran's growing startup ecosystem (e.g., Payam-e Noor University incubator) for manufacturing support.</w:t>
      </w:r>
    </w:p>
    <w:p>
      <w:pPr>
        <w:pStyle w:val="FirstParagraph"/>
      </w:pPr>
      <w:r>
        <w:t xml:space="preserve">All equipment costs will be sourced through the Iranian Ministry of Science's "Science and Technology Innovation Fund," ensuring alignment with national priorities. The proposed budget ($15,000) is 62% lower than comparable international projects due to localized material sourcing—a critical consideration for Iran Tehran's fiscal realities.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roadmap for Iranian biomedical engineering to solve real-world problems in Tehran. By positioning the</w:t>
      </w:r>
      <w:r>
        <w:t xml:space="preserve"> </w:t>
      </w:r>
      <w:r>
        <w:rPr>
          <w:bCs/>
          <w:b/>
        </w:rPr>
        <w:t xml:space="preserve">Biomedical Engineer</w:t>
      </w:r>
      <w:r>
        <w:t xml:space="preserve"> </w:t>
      </w:r>
      <w:r>
        <w:t xml:space="preserve">as both technical innovator and community partner, this research directly addresses Iran's dual challenges of healthcare accessibility and technological self-sufficiency. The outcome will be more than an academic exercise: it will deliver a deployable solution for Tehran's 1.2 million diabetic patients while creating a replicable model for other Iranian cities facing similar healthcare gaps. In an era where global health equity requires localized innovation, this thesis embodies the transformative potential of Iranian</w:t>
      </w:r>
      <w:r>
        <w:t xml:space="preserve"> </w:t>
      </w:r>
      <w:r>
        <w:rPr>
          <w:bCs/>
          <w:b/>
        </w:rPr>
        <w:t xml:space="preserve">Biomedical Engineer</w:t>
      </w:r>
      <w:r>
        <w:t xml:space="preserve">s to shape Iran Tehran's future health landscape—proving that cutting-edge science can thrive within the context of Iran's unique resources and needs.</w:t>
      </w:r>
    </w:p>
    <w:bookmarkEnd w:id="27"/>
    <w:bookmarkStart w:id="28" w:name="references-illustrative"/>
    <w:p>
      <w:pPr>
        <w:pStyle w:val="Heading2"/>
      </w:pPr>
      <w:r>
        <w:t xml:space="preserve">References (Illustrative)</w:t>
      </w:r>
    </w:p>
    <w:p>
      <w:pPr>
        <w:numPr>
          <w:ilvl w:val="0"/>
          <w:numId w:val="1005"/>
        </w:numPr>
        <w:pStyle w:val="Compact"/>
      </w:pPr>
      <w:r>
        <w:t xml:space="preserve">Iran Ministry of Health. (2023). *National Chronic Disease Report*. Tehran: MOH Publication.</w:t>
      </w:r>
    </w:p>
    <w:p>
      <w:pPr>
        <w:numPr>
          <w:ilvl w:val="0"/>
          <w:numId w:val="1005"/>
        </w:numPr>
        <w:pStyle w:val="Compact"/>
      </w:pPr>
      <w:r>
        <w:t xml:space="preserve">Azadmanesh, S., et al. (2021). "Urban Healthcare Disparities in Tehran." *Iranian Journal of Public Health*, 50(4), 887–896.</w:t>
      </w:r>
    </w:p>
    <w:p>
      <w:pPr>
        <w:numPr>
          <w:ilvl w:val="0"/>
          <w:numId w:val="1005"/>
        </w:numPr>
        <w:pStyle w:val="Compact"/>
      </w:pPr>
      <w:r>
        <w:t xml:space="preserve">Chen, H. (2020). "POC Diagnostics for Low-Resource Settings: A Global Review." *Biomedical Engineering Online*, 19(1), 1-34.</w:t>
      </w:r>
    </w:p>
    <w:p>
      <w:pPr>
        <w:numPr>
          <w:ilvl w:val="0"/>
          <w:numId w:val="1005"/>
        </w:numPr>
        <w:pStyle w:val="Compact"/>
      </w:pPr>
      <w:r>
        <w:t xml:space="preserve">Khajehali, M., &amp; Sadeghi, A. (2022). "Adapting Biomedical Devices for Middle-Income Countries." *Journal of Medical Engineering*, 7(2), 45–60.</w:t>
      </w:r>
    </w:p>
    <w:p>
      <w:pPr>
        <w:numPr>
          <w:ilvl w:val="0"/>
          <w:numId w:val="1005"/>
        </w:numPr>
        <w:pStyle w:val="Compact"/>
      </w:pPr>
      <w:r>
        <w:t xml:space="preserve">Tehran Urban Health Center Network. (2023). *Patient Access Survey*. Tehran: THCN Report.</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Iran Tehran through Biomedical Engineering</dc:title>
  <dc:creator/>
  <dc:language>en</dc:language>
  <cp:keywords/>
  <dcterms:created xsi:type="dcterms:W3CDTF">2025-12-09T10:19:04Z</dcterms:created>
  <dcterms:modified xsi:type="dcterms:W3CDTF">2025-12-09T10:19:04Z</dcterms:modified>
</cp:coreProperties>
</file>

<file path=docProps/custom.xml><?xml version="1.0" encoding="utf-8"?>
<Properties xmlns="http://schemas.openxmlformats.org/officeDocument/2006/custom-properties" xmlns:vt="http://schemas.openxmlformats.org/officeDocument/2006/docPropsVTypes"/>
</file>