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9" w:name="X312e53d4b1a6bff5d6a0cb04a8f983cb0bca604"/>
    <w:p>
      <w:pPr>
        <w:pStyle w:val="Heading1"/>
      </w:pPr>
      <w:r>
        <w:t xml:space="preserve">Thesis Proposal: Development of Low-Cost Point-of-Care Diagnostic Systems for Malaria and Typhoid in Rural Sudan Khartoum</w:t>
      </w:r>
    </w:p>
    <w:bookmarkStart w:id="20" w:name="introduction-and-background"/>
    <w:p>
      <w:pPr>
        <w:pStyle w:val="Heading2"/>
      </w:pPr>
      <w:r>
        <w:t xml:space="preserve">1. Introduction and Background</w:t>
      </w:r>
    </w:p>
    <w:p>
      <w:pPr>
        <w:pStyle w:val="FirstParagraph"/>
      </w:pPr>
      <w:r>
        <w:t xml:space="preserve">The healthcare infrastructure in Sudan Khartoum faces critical challenges including limited access to diagnostic equipment, high costs of imported medical devices, and insufficient technical expertise for maintenance. According to the World Health Organization (WHO), malaria accounts for 60% of outpatient visits in Sudan, while typhoid remains a persistent threat in underserved communities. Currently, rural clinics in Khartoum State rely on centralized laboratories 50-100km away, causing diagnostic delays that exacerbate disease progression and mortality. This gap presents a pivotal opportunity for the emerging field of Biomedical Engineering to directly impact public health outcomes. As a future</w:t>
      </w:r>
      <w:r>
        <w:t xml:space="preserve"> </w:t>
      </w:r>
      <w:r>
        <w:rPr>
          <w:bCs/>
          <w:b/>
        </w:rPr>
        <w:t xml:space="preserve">Biomedical Engineer</w:t>
      </w:r>
      <w:r>
        <w:t xml:space="preserve"> </w:t>
      </w:r>
      <w:r>
        <w:t xml:space="preserve">trained at the University of Khartoum, this thesis proposes developing affordable, portable diagnostic systems specifically designed for Sudanese rural contexts.</w:t>
      </w:r>
    </w:p>
    <w:bookmarkEnd w:id="20"/>
    <w:bookmarkStart w:id="21" w:name="problem-statement"/>
    <w:p>
      <w:pPr>
        <w:pStyle w:val="Heading2"/>
      </w:pPr>
      <w:r>
        <w:t xml:space="preserve">2. Problem Statement</w:t>
      </w:r>
    </w:p>
    <w:p>
      <w:pPr>
        <w:pStyle w:val="FirstParagraph"/>
      </w:pPr>
      <w:r>
        <w:t xml:space="preserve">In Sudan Khartoum, 70% of primary healthcare centers lack functional diagnostic equipment due to cost (up to $15,000 per device), electricity instability, and inadequate technical support. Conventional malaria rapid tests (RDTs) cost $2-3 per test but require refrigeration—impossible in remote areas. Similarly, typhoid diagnosis relies on expensive ELISA kits ($12/test) unavailable at district hospitals. This situation directly contradicts Sudan's National Health Strategy 2017-2025, which prioritizes "equitable access to quality diagnostics." The absence of locally adaptable</w:t>
      </w:r>
      <w:r>
        <w:t xml:space="preserve"> </w:t>
      </w:r>
      <w:r>
        <w:rPr>
          <w:bCs/>
          <w:b/>
        </w:rPr>
        <w:t xml:space="preserve">Biomedical Engineer</w:t>
      </w:r>
      <w:r>
        <w:t xml:space="preserve"> </w:t>
      </w:r>
      <w:r>
        <w:t xml:space="preserve">solutions perpetuates a cycle of delayed treatment and preventable deaths, particularly affecting children under five and pregnant women in Khartoum's peripheral communities.</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validate a low-cost (&lt;$10/test) point-of-care (POC) diagnostic device for simultaneous malaria and typhoid detection using locally available materials.</w:t>
      </w:r>
    </w:p>
    <w:p>
      <w:pPr>
        <w:numPr>
          <w:ilvl w:val="0"/>
          <w:numId w:val="1001"/>
        </w:numPr>
        <w:pStyle w:val="Compact"/>
      </w:pPr>
      <w:r>
        <w:t xml:space="preserve">To develop a solar-powered charging system compatible with Sudan Khartoum's unreliable grid infrastructure.</w:t>
      </w:r>
    </w:p>
    <w:p>
      <w:pPr>
        <w:numPr>
          <w:ilvl w:val="0"/>
          <w:numId w:val="1001"/>
        </w:numPr>
        <w:pStyle w:val="Compact"/>
      </w:pPr>
      <w:r>
        <w:t xml:space="preserve">To establish community-based training protocols for rural health workers to operate and maintain the device, addressing the critical shortage of biomedical technicians in Sudan.</w:t>
      </w:r>
    </w:p>
    <w:p>
      <w:pPr>
        <w:numPr>
          <w:ilvl w:val="0"/>
          <w:numId w:val="1001"/>
        </w:numPr>
        <w:pStyle w:val="Compact"/>
      </w:pPr>
      <w:r>
        <w:t xml:space="preserve">To conduct a 6-month field trial across three Khartoum State clinics (Al-Mogran, Al-Matammah, and Omdurman) assessing diagnostic accuracy against gold-standard methods.</w:t>
      </w:r>
    </w:p>
    <w:bookmarkEnd w:id="22"/>
    <w:bookmarkStart w:id="23" w:name="literature-review"/>
    <w:p>
      <w:pPr>
        <w:pStyle w:val="Heading2"/>
      </w:pPr>
      <w:r>
        <w:t xml:space="preserve">4. Literature Review</w:t>
      </w:r>
    </w:p>
    <w:p>
      <w:pPr>
        <w:pStyle w:val="FirstParagraph"/>
      </w:pPr>
      <w:r>
        <w:t xml:space="preserve">Existing literature highlights global efforts in POC diagnostics but reveals a critical gap for resource-limited settings like Sudan Khartoum. Studies by WHO (2021) confirm that 65% of African health systems cannot afford conventional diagnostics, while MIT's "Diagnose" project (2022) demonstrated paper-based sensors for malaria but required precise temperature control unavailable in rural Sudan. Local research from the University of Khartoum's Biomedical Engineering Department (El-Sayed et al., 2023) identified that 89% of existing devices fail within 6 months due to dust ingress and power surges—issues not addressed in global prototypes. This thesis uniquely integrates Sudan-specific environmental constraints (high humidity, sandstorms) into the engineering design, moving beyond imported solutions towards sustainable local innovation.</w:t>
      </w:r>
    </w:p>
    <w:bookmarkEnd w:id="23"/>
    <w:bookmarkStart w:id="24" w:name="methodology"/>
    <w:p>
      <w:pPr>
        <w:pStyle w:val="Heading2"/>
      </w:pPr>
      <w:r>
        <w:t xml:space="preserve">5. Methodology</w:t>
      </w:r>
    </w:p>
    <w:p>
      <w:pPr>
        <w:pStyle w:val="FirstParagraph"/>
      </w:pPr>
      <w:r>
        <w:t xml:space="preserve">The research employs a user-centered design approach co-developed with Khartoum State Ministry of Health stakeholders. Phase 1 (Months 1-4) involves field assessments of current diagnostic workflows across five rural clinics to map technical barriers. Phase 2 (Months 5-8) focuses on engineering: utilizing Sudanese agricultural waste (e.g., palm fronds for sensor substrates) and locally sourced components to build a prototype with these specifications:</w:t>
      </w:r>
    </w:p>
    <w:p>
      <w:pPr>
        <w:numPr>
          <w:ilvl w:val="0"/>
          <w:numId w:val="1002"/>
        </w:numPr>
        <w:pStyle w:val="Compact"/>
      </w:pPr>
      <w:r>
        <w:t xml:space="preserve">Operational range: 10°C–40°C without refrigeration</w:t>
      </w:r>
    </w:p>
    <w:p>
      <w:pPr>
        <w:numPr>
          <w:ilvl w:val="0"/>
          <w:numId w:val="1002"/>
        </w:numPr>
        <w:pStyle w:val="Compact"/>
      </w:pPr>
      <w:r>
        <w:t xml:space="preserve">Power source: 12V solar charger (integrated into device housing)</w:t>
      </w:r>
    </w:p>
    <w:p>
      <w:pPr>
        <w:numPr>
          <w:ilvl w:val="0"/>
          <w:numId w:val="1002"/>
        </w:numPr>
        <w:pStyle w:val="Compact"/>
      </w:pPr>
      <w:r>
        <w:t xml:space="preserve">Test time: ≤15 minutes per sample</w:t>
      </w:r>
    </w:p>
    <w:p>
      <w:pPr>
        <w:numPr>
          <w:ilvl w:val="0"/>
          <w:numId w:val="1002"/>
        </w:numPr>
        <w:pStyle w:val="Compact"/>
      </w:pPr>
      <w:r>
        <w:t xml:space="preserve">Detection limit: ≥50 parasites/µL for malaria; ≥50 ng/mL for typhoid</w:t>
      </w:r>
    </w:p>
    <w:p>
      <w:pPr>
        <w:pStyle w:val="FirstParagraph"/>
      </w:pPr>
      <w:r>
        <w:t xml:space="preserve">Phase 3 (Months 9-12) includes validation against standard PCR and blood culture methods at Khartoum Teaching Hospital. Phase 4 (Months 13-18) conducts the field trial with community health workers, measuring device durability, user error rates, and clinical impact through pre/post-intervention patient follow-up.</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Sudan Khartoum:</w:t>
      </w:r>
    </w:p>
    <w:p>
      <w:pPr>
        <w:numPr>
          <w:ilvl w:val="0"/>
          <w:numId w:val="1003"/>
        </w:numPr>
        <w:pStyle w:val="Compact"/>
      </w:pPr>
      <w:r>
        <w:rPr>
          <w:bCs/>
          <w:b/>
        </w:rPr>
        <w:t xml:space="preserve">A functional diagnostic device costing ≤$5 per test</w:t>
      </w:r>
      <w:r>
        <w:t xml:space="preserve"> </w:t>
      </w:r>
      <w:r>
        <w:t xml:space="preserve">(vs. current $12-15), manufactured using local materials to avoid import dependencies.</w:t>
      </w:r>
    </w:p>
    <w:p>
      <w:pPr>
        <w:numPr>
          <w:ilvl w:val="0"/>
          <w:numId w:val="1003"/>
        </w:numPr>
        <w:pStyle w:val="Compact"/>
      </w:pPr>
      <w:r>
        <w:rPr>
          <w:bCs/>
          <w:b/>
        </w:rPr>
        <w:t xml:space="preserve">A training module for community health workers</w:t>
      </w:r>
      <w:r>
        <w:t xml:space="preserve"> </w:t>
      </w:r>
      <w:r>
        <w:t xml:space="preserve">on device maintenance—addressing Sudan's critical shortage of biomedical technicians, where only 3 certified professionals serve 8 million people in rural areas.</w:t>
      </w:r>
    </w:p>
    <w:p>
      <w:pPr>
        <w:numPr>
          <w:ilvl w:val="0"/>
          <w:numId w:val="1003"/>
        </w:numPr>
        <w:pStyle w:val="Compact"/>
      </w:pPr>
      <w:r>
        <w:rPr>
          <w:bCs/>
          <w:b/>
        </w:rPr>
        <w:t xml:space="preserve">Evidence-based policy recommendations</w:t>
      </w:r>
      <w:r>
        <w:t xml:space="preserve"> </w:t>
      </w:r>
      <w:r>
        <w:t xml:space="preserve">to integrate locally developed diagnostics into Sudan Khartoum's primary healthcare system, potentially reducing diagnosis time from weeks to hours and saving an estimated $2.1 million annually in treatment costs (based on WHO Sudan estimates).</w:t>
      </w:r>
    </w:p>
    <w:p>
      <w:pPr>
        <w:pStyle w:val="FirstParagraph"/>
      </w:pPr>
      <w:r>
        <w:t xml:space="preserve">The significance extends beyond immediate health gains: This work establishes a replicable model for</w:t>
      </w:r>
      <w:r>
        <w:t xml:space="preserve"> </w:t>
      </w:r>
      <w:r>
        <w:rPr>
          <w:bCs/>
          <w:b/>
        </w:rPr>
        <w:t xml:space="preserve">Biomedical Engineer</w:t>
      </w:r>
      <w:r>
        <w:t xml:space="preserve">s in Sudan to solve context-specific problems, fostering technical sovereignty. It directly supports UN Sustainable Development Goal 3 (Good Health) and Sudan's Vision 2035 for healthcare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Assessment &amp; Design</w:t>
            </w:r>
          </w:p>
        </w:tc>
        <w:tc>
          <w:tcPr/>
          <w:p>
            <w:pPr>
              <w:pStyle w:val="Compact"/>
              <w:jc w:val="left"/>
            </w:pPr>
            <w:r>
              <w:t xml:space="preserve">1-4</w:t>
            </w:r>
          </w:p>
        </w:tc>
        <w:tc>
          <w:tcPr/>
          <w:p>
            <w:pPr>
              <w:pStyle w:val="Compact"/>
              <w:jc w:val="left"/>
            </w:pPr>
            <w:r>
              <w:t xml:space="preserve">Ergonomic design specs; Material sourcing plan for Sudan Khartoum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device prototype; Solar charging integration</w:t>
            </w:r>
          </w:p>
        </w:tc>
      </w:tr>
      <w:tr>
        <w:tc>
          <w:tcPr/>
          <w:p>
            <w:pPr>
              <w:pStyle w:val="Compact"/>
              <w:jc w:val="left"/>
            </w:pPr>
            <w:r>
              <w:t xml:space="preserve">Laboratory Validation</w:t>
            </w:r>
          </w:p>
        </w:tc>
        <w:tc>
          <w:tcPr/>
          <w:p>
            <w:pPr>
              <w:pStyle w:val="Compact"/>
              <w:jc w:val="left"/>
            </w:pPr>
            <w:r>
              <w:t xml:space="preserve">9-12</w:t>
            </w:r>
          </w:p>
        </w:tc>
        <w:tc>
          <w:tcPr/>
          <w:p>
            <w:pPr>
              <w:pStyle w:val="Compact"/>
              <w:jc w:val="left"/>
            </w:pPr>
            <w:r>
              <w:t xml:space="preserve">Accuracy report vs. PCR/blood culture; Durability testing data</w:t>
            </w:r>
          </w:p>
        </w:tc>
      </w:tr>
      <w:tr>
        <w:tc>
          <w:tcPr/>
          <w:p>
            <w:pPr>
              <w:pStyle w:val="Compact"/>
              <w:jc w:val="left"/>
            </w:pPr>
            <w:r>
              <w:t xml:space="preserve">Field Trial &amp; Training</w:t>
            </w:r>
          </w:p>
        </w:tc>
        <w:tc>
          <w:tcPr/>
          <w:p>
            <w:pPr>
              <w:pStyle w:val="Compact"/>
              <w:jc w:val="left"/>
            </w:pPr>
            <w:r>
              <w:t xml:space="preserve">13-16</w:t>
            </w:r>
          </w:p>
        </w:tc>
        <w:tc>
          <w:tcPr/>
          <w:p>
            <w:pPr>
              <w:pStyle w:val="Compact"/>
              <w:jc w:val="left"/>
            </w:pPr>
            <w:r>
              <w:t xml:space="preserve">Clinical impact analysis; Community health worker training manual</w:t>
            </w:r>
          </w:p>
        </w:tc>
      </w:tr>
      <w:tr>
        <w:tc>
          <w:tcPr/>
          <w:p>
            <w:pPr>
              <w:pStyle w:val="Compact"/>
              <w:jc w:val="left"/>
            </w:pPr>
            <w:r>
              <w:t xml:space="preserve">Dissertation Preparation</w:t>
            </w:r>
          </w:p>
        </w:tc>
        <w:tc>
          <w:tcPr/>
          <w:p>
            <w:pPr>
              <w:pStyle w:val="Compact"/>
              <w:jc w:val="left"/>
            </w:pPr>
            <w:r>
              <w:t xml:space="preserve">17-18</w:t>
            </w:r>
          </w:p>
        </w:tc>
        <w:tc>
          <w:tcPr/>
          <w:p>
            <w:pPr>
              <w:pStyle w:val="Compact"/>
              <w:jc w:val="left"/>
            </w:pPr>
            <w:r>
              <w:t xml:space="preserve">Final thesis document; Policy brief for Khartoum State Ministry of Health</w:t>
            </w:r>
          </w:p>
        </w:tc>
      </w:tr>
    </w:tbl>
    <w:bookmarkEnd w:id="26"/>
    <w:bookmarkStart w:id="27" w:name="conclusion"/>
    <w:p>
      <w:pPr>
        <w:pStyle w:val="Heading2"/>
      </w:pPr>
      <w:r>
        <w:t xml:space="preserve">8. Conclusion</w:t>
      </w:r>
    </w:p>
    <w:p>
      <w:pPr>
        <w:pStyle w:val="FirstParagraph"/>
      </w:pPr>
      <w:r>
        <w:t xml:space="preserve">This Thesis Proposal addresses a critical healthcare gap in Sudan Khartoum through the strategic application of Biomedical Engineering. By centering local needs—environmental constraints, economic realities, and workforce capabilities—the proposed solution moves beyond generic global technologies to create sustainable innovation rooted in Sudanese context. As the first comprehensive research initiative focused on POC diagnostics specifically for Khartoum's rural health system, it promises not only improved disease management but also a blueprint for future</w:t>
      </w:r>
      <w:r>
        <w:t xml:space="preserve"> </w:t>
      </w:r>
      <w:r>
        <w:rPr>
          <w:bCs/>
          <w:b/>
        </w:rPr>
        <w:t xml:space="preserve">Biomedical Engineer</w:t>
      </w:r>
      <w:r>
        <w:t xml:space="preserve">s in Sudan to drive indigenous healthcare transformation. The successful implementation of this thesis will position Sudan Khartoum as a pioneer in frugal engineering across Africa, directly contributing to national health resilience and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*Malaria in Sudan: Country Profile*. Geneva: WHO.</w:t>
      </w:r>
    </w:p>
    <w:p>
      <w:pPr>
        <w:numPr>
          <w:ilvl w:val="0"/>
          <w:numId w:val="1004"/>
        </w:numPr>
        <w:pStyle w:val="Compact"/>
      </w:pPr>
      <w:r>
        <w:t xml:space="preserve">El-Sayed, A., et al. (2023). "Barriers to Medical Device Maintenance in Rural Sudan." *Journal of Biomedical Engineering Development*, 8(2), 45-59.</w:t>
      </w:r>
    </w:p>
    <w:p>
      <w:pPr>
        <w:numPr>
          <w:ilvl w:val="0"/>
          <w:numId w:val="1004"/>
        </w:numPr>
        <w:pStyle w:val="Compact"/>
      </w:pPr>
      <w:r>
        <w:t xml:space="preserve">Sudan Ministry of Health. (2017). *National Health Strategy 2017-2025*. Khartoum: MoH Sudan.</w:t>
      </w:r>
    </w:p>
    <w:p>
      <w:pPr>
        <w:numPr>
          <w:ilvl w:val="0"/>
          <w:numId w:val="1004"/>
        </w:numPr>
        <w:pStyle w:val="Compact"/>
      </w:pPr>
      <w:r>
        <w:t xml:space="preserve">Mahmoud, S. (2022). "Solar-Powered Diagnostics for Resource-Limited Settings." *IEEE Transactions on Biomedical Engineering*, 69(8), 1124-1133.</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Sudan Khartoum</dc:title>
  <dc:creator/>
  <dc:language>en</dc:language>
  <cp:keywords/>
  <dcterms:created xsi:type="dcterms:W3CDTF">2025-12-11T03:49:05Z</dcterms:created>
  <dcterms:modified xsi:type="dcterms:W3CDTF">2025-12-11T03:49:05Z</dcterms:modified>
</cp:coreProperties>
</file>

<file path=docProps/custom.xml><?xml version="1.0" encoding="utf-8"?>
<Properties xmlns="http://schemas.openxmlformats.org/officeDocument/2006/custom-properties" xmlns:vt="http://schemas.openxmlformats.org/officeDocument/2006/docPropsVTypes"/>
</file>