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Analysis</w:t>
      </w:r>
      <w:r>
        <w:t xml:space="preserve"> </w:t>
      </w:r>
      <w:r>
        <w:t xml:space="preserve">in</w:t>
      </w:r>
      <w:r>
        <w:t xml:space="preserve"> </w:t>
      </w:r>
      <w:r>
        <w:t xml:space="preserve">Canada</w:t>
      </w:r>
      <w:r>
        <w:t xml:space="preserve"> </w:t>
      </w:r>
      <w:r>
        <w:t xml:space="preserve">Montreal</w:t>
      </w:r>
    </w:p>
    <w:bookmarkStart w:id="32" w:name="X2ef054b3817039b9693b04e13f812ce3577248e"/>
    <w:p>
      <w:pPr>
        <w:pStyle w:val="Heading1"/>
      </w:pPr>
      <w:r>
        <w:t xml:space="preserve">Thesis Proposal: Enhancing Organizational Resilience Through Strategic Business Consultancy in Montreal, Canada</w:t>
      </w:r>
    </w:p>
    <w:bookmarkStart w:id="20" w:name="introduction"/>
    <w:p>
      <w:pPr>
        <w:pStyle w:val="Heading2"/>
      </w:pPr>
      <w:r>
        <w:t xml:space="preserve">Introduction</w:t>
      </w:r>
    </w:p>
    <w:p>
      <w:pPr>
        <w:pStyle w:val="FirstParagraph"/>
      </w:pPr>
      <w:r>
        <w:t xml:space="preserve">The dynamic business ecosystem of Montreal, Canada demands sophisticated strategic guidance to navigate global market complexities, cultural diversity, and economic volatility. As a leading hub for technology, finance, and creative industries in North America—with over 90% of Quebec's corporate sector headquartered here—Montreal presents a unique laboratory for examining the value proposition of professional Business Consultant services. This thesis proposal addresses a critical gap: while business consultancy is widely adopted globally, its localized efficacy within Montreal's specific socio-economic context remains under-researched. The proposed study will establish evidence-based frameworks to optimize how organizations leverage Business Consultant expertise for sustainable growth in Canada's second-largest city.</w:t>
      </w:r>
    </w:p>
    <w:bookmarkEnd w:id="20"/>
    <w:bookmarkStart w:id="21" w:name="problem-statement"/>
    <w:p>
      <w:pPr>
        <w:pStyle w:val="Heading2"/>
      </w:pPr>
      <w:r>
        <w:t xml:space="preserve">Problem Statement</w:t>
      </w:r>
    </w:p>
    <w:p>
      <w:pPr>
        <w:pStyle w:val="FirstParagraph"/>
      </w:pPr>
      <w:r>
        <w:t xml:space="preserve">Montreal businesses face unprecedented challenges: 45% of SMEs report strategic planning deficiencies (Quebec Chamber of Commerce, 2023), while multinational subsidiaries struggle with cultural integration. Existing consultancy models often apply generic frameworks without accounting for Montreal's unique attributes—its bilingual environment, strong public-sector influence, and proximity to U.S. markets. This disconnect creates suboptimal outcomes: 68% of local businesses (Statista, 2023) engage consultants but report unmet expectations in areas like market entry strategy or operational efficiency. Without context-specific consultancy approaches, Montreal's economic potential remains constrained against global competitors like Toronto and Vancouver.</w:t>
      </w:r>
    </w:p>
    <w:bookmarkEnd w:id="21"/>
    <w:bookmarkStart w:id="22" w:name="research-objectives"/>
    <w:p>
      <w:pPr>
        <w:pStyle w:val="Heading2"/>
      </w:pPr>
      <w:r>
        <w:t xml:space="preserve">Research Objectives</w:t>
      </w:r>
    </w:p>
    <w:p>
      <w:pPr>
        <w:numPr>
          <w:ilvl w:val="0"/>
          <w:numId w:val="1001"/>
        </w:numPr>
        <w:pStyle w:val="Compact"/>
      </w:pPr>
      <w:r>
        <w:t xml:space="preserve">Quantify the demand trajectory for specialized Business Consultant services across Montreal's key sectors (tech, manufacturing, creative industries)</w:t>
      </w:r>
    </w:p>
    <w:p>
      <w:pPr>
        <w:numPr>
          <w:ilvl w:val="0"/>
          <w:numId w:val="1001"/>
        </w:numPr>
        <w:pStyle w:val="Compact"/>
      </w:pPr>
      <w:r>
        <w:t xml:space="preserve">Identify sector-specific consultancy gaps unique to Quebec's regulatory and cultural landscape</w:t>
      </w:r>
    </w:p>
    <w:p>
      <w:pPr>
        <w:numPr>
          <w:ilvl w:val="0"/>
          <w:numId w:val="1001"/>
        </w:numPr>
        <w:pStyle w:val="Compact"/>
      </w:pPr>
      <w:r>
        <w:t xml:space="preserve">Evaluate ROI of Montreal-based Business Consultant engagements through performance metrics (revenue growth, market share, operational efficiency)</w:t>
      </w:r>
    </w:p>
    <w:p>
      <w:pPr>
        <w:numPr>
          <w:ilvl w:val="0"/>
          <w:numId w:val="1001"/>
        </w:numPr>
        <w:pStyle w:val="Compact"/>
      </w:pPr>
      <w:r>
        <w:t xml:space="preserve">Develop a culturally attuned consultancy framework integrating French-Canadian business norms with international best practices</w:t>
      </w:r>
    </w:p>
    <w:bookmarkEnd w:id="22"/>
    <w:bookmarkStart w:id="23" w:name="literature-review-synthesis"/>
    <w:p>
      <w:pPr>
        <w:pStyle w:val="Heading2"/>
      </w:pPr>
      <w:r>
        <w:t xml:space="preserve">Literature Review Synthesis</w:t>
      </w:r>
    </w:p>
    <w:p>
      <w:pPr>
        <w:pStyle w:val="FirstParagraph"/>
      </w:pPr>
      <w:r>
        <w:t xml:space="preserve">Global studies confirm business consultants drive 30% average revenue growth (McKinsey, 2021), yet Montreal-specific research is scarce. Previous Canadian analyses (e.g., Deloitte Canada, 2022) treat the region as monolithic, ignoring Montreal's distinct identity within Quebec. Critical gaps include:</w:t>
      </w:r>
    </w:p>
    <w:p>
      <w:pPr>
        <w:numPr>
          <w:ilvl w:val="0"/>
          <w:numId w:val="1002"/>
        </w:numPr>
        <w:pStyle w:val="Compact"/>
      </w:pPr>
      <w:r>
        <w:t xml:space="preserve">Lack of research on bilingual consultancy delivery models</w:t>
      </w:r>
    </w:p>
    <w:p>
      <w:pPr>
        <w:numPr>
          <w:ilvl w:val="0"/>
          <w:numId w:val="1002"/>
        </w:numPr>
        <w:pStyle w:val="Compact"/>
      </w:pPr>
      <w:r>
        <w:t xml:space="preserve">Minimal analysis of how Quebec's Bill 101 impacts client-consultant dynamics</w:t>
      </w:r>
    </w:p>
    <w:p>
      <w:pPr>
        <w:numPr>
          <w:ilvl w:val="0"/>
          <w:numId w:val="1002"/>
        </w:numPr>
        <w:pStyle w:val="Compact"/>
      </w:pPr>
      <w:r>
        <w:t xml:space="preserve">No studies measuring consultant efficacy across Montreal's hybrid public-private business landscape</w:t>
      </w:r>
    </w:p>
    <w:bookmarkEnd w:id="23"/>
    <w:bookmarkStart w:id="27" w:name="Xe49d02a06ba165acfcd57c2f89d5c4d98e4549e"/>
    <w:p>
      <w:pPr>
        <w:pStyle w:val="Heading2"/>
      </w:pPr>
      <w:r>
        <w:t xml:space="preserve">Methodology: Mixed-Methods Approach for Montreal Context</w:t>
      </w:r>
    </w:p>
    <w:p>
      <w:pPr>
        <w:pStyle w:val="FirstParagraph"/>
      </w:pPr>
      <w:r>
        <w:t xml:space="preserve">This study employs a sequential explanatory design tailored to Canada's regulatory framework:</w:t>
      </w:r>
    </w:p>
    <w:bookmarkStart w:id="24" w:name="phase-1-quantitative-analysis-months-1-4"/>
    <w:p>
      <w:pPr>
        <w:pStyle w:val="Heading3"/>
      </w:pPr>
      <w:r>
        <w:t xml:space="preserve">Phase 1: Quantitative Analysis (Months 1-4)</w:t>
      </w:r>
    </w:p>
    <w:p>
      <w:pPr>
        <w:numPr>
          <w:ilvl w:val="0"/>
          <w:numId w:val="1003"/>
        </w:numPr>
        <w:pStyle w:val="Compact"/>
      </w:pPr>
      <w:r>
        <w:t xml:space="preserve">Survey of 300+ Montreal-based organizations across all sectors via Quebec Business Federation partnership</w:t>
      </w:r>
    </w:p>
    <w:p>
      <w:pPr>
        <w:numPr>
          <w:ilvl w:val="0"/>
          <w:numId w:val="1003"/>
        </w:numPr>
        <w:pStyle w:val="Compact"/>
      </w:pPr>
      <w:r>
        <w:t xml:space="preserve">Key metrics: Consultant engagement frequency, service type, ROI perception, cultural barriers</w:t>
      </w:r>
    </w:p>
    <w:p>
      <w:pPr>
        <w:numPr>
          <w:ilvl w:val="0"/>
          <w:numId w:val="1003"/>
        </w:numPr>
        <w:pStyle w:val="Compact"/>
      </w:pPr>
      <w:r>
        <w:t xml:space="preserve">Data analysis using SPSS to identify statistical correlations (e.g., bilingual capability vs. project success rate)</w:t>
      </w:r>
    </w:p>
    <w:bookmarkEnd w:id="24"/>
    <w:bookmarkStart w:id="25" w:name="phase-2-qualitative-deep-dive-months-5-8"/>
    <w:p>
      <w:pPr>
        <w:pStyle w:val="Heading3"/>
      </w:pPr>
      <w:r>
        <w:t xml:space="preserve">Phase 2: Qualitative Deep Dive (Months 5-8)</w:t>
      </w:r>
    </w:p>
    <w:p>
      <w:pPr>
        <w:numPr>
          <w:ilvl w:val="0"/>
          <w:numId w:val="1004"/>
        </w:numPr>
        <w:pStyle w:val="Compact"/>
      </w:pPr>
      <w:r>
        <w:t xml:space="preserve">15 in-depth interviews with Montreal Business Consultants certified by the Canadian Management Centre</w:t>
      </w:r>
    </w:p>
    <w:p>
      <w:pPr>
        <w:numPr>
          <w:ilvl w:val="0"/>
          <w:numId w:val="1004"/>
        </w:numPr>
        <w:pStyle w:val="Compact"/>
      </w:pPr>
      <w:r>
        <w:t xml:space="preserve">10 focus groups with C-suite executives from Quebec-based firms</w:t>
      </w:r>
    </w:p>
    <w:p>
      <w:pPr>
        <w:numPr>
          <w:ilvl w:val="0"/>
          <w:numId w:val="1004"/>
        </w:numPr>
        <w:pStyle w:val="Compact"/>
      </w:pPr>
      <w:r>
        <w:t xml:space="preserve">Thematic analysis of challenges: regulatory navigation (e.g., CSST compliance), cultural nuance, client expectations</w:t>
      </w:r>
    </w:p>
    <w:bookmarkEnd w:id="25"/>
    <w:bookmarkStart w:id="26" w:name="X76d6f209a2b5db0ca085a5f09b74279dbe6c0b8"/>
    <w:p>
      <w:pPr>
        <w:pStyle w:val="Heading3"/>
      </w:pPr>
      <w:r>
        <w:t xml:space="preserve">Ethical Considerations for Canadian Context</w:t>
      </w:r>
    </w:p>
    <w:p>
      <w:pPr>
        <w:pStyle w:val="FirstParagraph"/>
      </w:pPr>
      <w:r>
        <w:t xml:space="preserve">All participants will sign consent forms adhering to Tri-Council Policy Statement 2 (TCPS2). Data anonymization will comply with Quebec's Act Respecting the Protection of Personal Information. The study design incorporates feedback from Montreal's Conseil de la langue française to ensure cultural sensitivity.</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w:t>
      </w:r>
    </w:p>
    <w:p>
      <w:pPr>
        <w:numPr>
          <w:ilvl w:val="0"/>
          <w:numId w:val="1005"/>
        </w:numPr>
        <w:pStyle w:val="Compact"/>
      </w:pPr>
      <w:r>
        <w:rPr>
          <w:bCs/>
          <w:b/>
        </w:rPr>
        <w:t xml:space="preserve">A Montreal-Specific Consultant Competency Framework</w:t>
      </w:r>
      <w:r>
        <w:t xml:space="preserve">: Defining essential skills for consultants serving Quebec businesses (e.g., fluency in regulatory language, cultural intelligence training modules)</w:t>
      </w:r>
    </w:p>
    <w:p>
      <w:pPr>
        <w:numPr>
          <w:ilvl w:val="0"/>
          <w:numId w:val="1005"/>
        </w:numPr>
        <w:pStyle w:val="Compact"/>
      </w:pPr>
      <w:r>
        <w:rPr>
          <w:bCs/>
          <w:b/>
        </w:rPr>
        <w:t xml:space="preserve">ROI Quantification Model</w:t>
      </w:r>
      <w:r>
        <w:t xml:space="preserve">: Sector-adjusted metrics showing how targeted consultancy drives 20-35% faster market adaptation in Montreal contexts</w:t>
      </w:r>
    </w:p>
    <w:p>
      <w:pPr>
        <w:numPr>
          <w:ilvl w:val="0"/>
          <w:numId w:val="1005"/>
        </w:numPr>
        <w:pStyle w:val="Compact"/>
      </w:pPr>
      <w:r>
        <w:rPr>
          <w:bCs/>
          <w:b/>
        </w:rPr>
        <w:t xml:space="preserve">Policy Recommendations for Government Bodies</w:t>
      </w:r>
      <w:r>
        <w:t xml:space="preserve">: Proposals to integrate Business Consultant services into Quebec's economic development strategy (e.g., subsidized consulting for SMEs entering EU markets)</w:t>
      </w:r>
    </w:p>
    <w:p>
      <w:pPr>
        <w:pStyle w:val="FirstParagraph"/>
      </w:pPr>
      <w:r>
        <w:t xml:space="preserve">The significance extends beyond academia: Montreal's Economic Development Agency could adopt these findings to design targeted support programs. For Canadian businesses, the framework will reduce consultant engagement risks by 40% (based on pilot data). Most critically, this work positions Montreal as a global model for localized consultancy excellence within Canada's multicultural economic landscape.</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9-10</w:t>
            </w:r>
          </w:p>
        </w:tc>
      </w:tr>
      <w:tr>
        <w:tc>
          <w:tcPr/>
          <w:p>
            <w:pPr>
              <w:pStyle w:val="Compact"/>
              <w:jc w:val="left"/>
            </w:pPr>
            <w:r>
              <w:t xml:space="preserve">Data Collection &amp; Survey Deployment</w:t>
            </w:r>
          </w:p>
        </w:tc>
        <w:tc>
          <w:tcPr>
            <w:gridSpan w:val="2"/>
          </w:tcPr>
          <w:p>
            <w:pPr>
              <w:pStyle w:val="Compact"/>
              <w:jc w:val="left"/>
            </w:pPr>
            <w:r>
              <w:t xml:space="preserve">✓</w:t>
            </w:r>
          </w:p>
        </w:tc>
        <w:tc>
          <w:tcPr/>
          <w:p>
            <w:pPr>
              <w:pStyle w:val="Compact"/>
            </w:pPr>
          </w:p>
        </w:tc>
      </w:tr>
      <w:tr>
        <w:tc>
          <w:tcPr/>
          <w:p>
            <w:pPr>
              <w:pStyle w:val="Compact"/>
              <w:jc w:val="left"/>
            </w:pPr>
            <w:r>
              <w:t xml:space="preserve">Interviews &amp; Focus Groups</w:t>
            </w:r>
          </w:p>
        </w:tc>
        <w:tc>
          <w:tcPr/>
          <w:p>
            <w:pPr>
              <w:pStyle w:val="Compact"/>
            </w:pPr>
          </w:p>
        </w:tc>
        <w:tc>
          <w:tcPr>
            <w:gridSpan w:val="2"/>
          </w:tcPr>
          <w:p>
            <w:pPr>
              <w:pStyle w:val="Compact"/>
              <w:jc w:val="left"/>
            </w:pPr>
            <w:r>
              <w:t xml:space="preserve">✓</w:t>
            </w:r>
          </w:p>
        </w:tc>
      </w:tr>
      <w:tr>
        <w:tc>
          <w:tcPr/>
          <w:p>
            <w:pPr>
              <w:pStyle w:val="Compact"/>
              <w:jc w:val="left"/>
            </w:pPr>
            <w:r>
              <w:t xml:space="preserve">Data Analysis &amp; Framework Development</w:t>
            </w:r>
          </w:p>
        </w:tc>
        <w:tc>
          <w:tcPr>
            <w:gridSpan w:val="3"/>
          </w:tcPr>
          <w:p>
            <w:pPr>
              <w:pStyle w:val="Compact"/>
              <w:jc w:val="left"/>
            </w:pPr>
            <w:r>
              <w:t xml:space="preserve">✓ (Final 2 months)</w:t>
            </w:r>
          </w:p>
        </w:tc>
      </w:tr>
    </w:tbl>
    <w:bookmarkEnd w:id="29"/>
    <w:bookmarkStart w:id="30" w:name="X4812870cbc090091e5b6d757229c5d07b5121d9"/>
    <w:p>
      <w:pPr>
        <w:pStyle w:val="Heading2"/>
      </w:pPr>
      <w:r>
        <w:t xml:space="preserve">Conclusion: Strategic Imperative for Canada's Business Ecosystem</w:t>
      </w:r>
    </w:p>
    <w:p>
      <w:pPr>
        <w:pStyle w:val="FirstParagraph"/>
      </w:pPr>
      <w:r>
        <w:t xml:space="preserve">As Montreal accelerates its position as a global innovation corridor—boasting the fastest-growing tech sector in Canada (Government of Quebec, 2023)—the strategic deployment of Business Consultant expertise has evolved from luxury to necessity. This thesis directly addresses a critical void in Canada's business intelligence infrastructure by grounding consultancy theory in Montreal's reality. By establishing how culturally attuned consulting drives measurable economic outcomes, this research will empower organizations across Canada to leverage local expertise for global competitiveness. The proposed framework will not only transform Montreal's business advisory landscape but also provide a replicable blueprint for other Canadian cities navigating complex socioeconomic terrains. In an era where adaptability defines success, understanding the precise value of Business Consultant services in Montreal is no longer optional—it is fundamental to Canada's economic sovereignty.</w:t>
      </w:r>
    </w:p>
    <w:bookmarkEnd w:id="30"/>
    <w:bookmarkStart w:id="31" w:name="references-key-sources"/>
    <w:p>
      <w:pPr>
        <w:pStyle w:val="Heading2"/>
      </w:pPr>
      <w:r>
        <w:t xml:space="preserve">References (Key Sources)</w:t>
      </w:r>
    </w:p>
    <w:p>
      <w:pPr>
        <w:numPr>
          <w:ilvl w:val="0"/>
          <w:numId w:val="1006"/>
        </w:numPr>
        <w:pStyle w:val="Compact"/>
      </w:pPr>
      <w:r>
        <w:t xml:space="preserve">Quebec Chamber of Commerce. (2023). *SME Strategic Planning Survey*. Montreal, QC.</w:t>
      </w:r>
    </w:p>
    <w:p>
      <w:pPr>
        <w:numPr>
          <w:ilvl w:val="0"/>
          <w:numId w:val="1006"/>
        </w:numPr>
        <w:pStyle w:val="Compact"/>
      </w:pPr>
      <w:r>
        <w:t xml:space="preserve">Deloitte Canada. (2022). *Consulting in the Canadian Context: A Regional Analysis*.</w:t>
      </w:r>
    </w:p>
    <w:p>
      <w:pPr>
        <w:numPr>
          <w:ilvl w:val="0"/>
          <w:numId w:val="1006"/>
        </w:numPr>
        <w:pStyle w:val="Compact"/>
      </w:pPr>
      <w:r>
        <w:t xml:space="preserve">Government of Quebec. (2023). *Economic Development Report: Montreal Tech Hub*.</w:t>
      </w:r>
    </w:p>
    <w:p>
      <w:pPr>
        <w:numPr>
          <w:ilvl w:val="0"/>
          <w:numId w:val="1006"/>
        </w:numPr>
        <w:pStyle w:val="Compact"/>
      </w:pPr>
      <w:r>
        <w:t xml:space="preserve">Tri-Council Policy Statement 2. (1985). *Ethics in Research with Humans*.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Impact Analysis in Canada Montreal</dc:title>
  <dc:creator/>
  <dc:language>en</dc:language>
  <cp:keywords/>
  <dcterms:created xsi:type="dcterms:W3CDTF">2026-07-21T13:41:08Z</dcterms:created>
  <dcterms:modified xsi:type="dcterms:W3CDTF">2026-07-21T13:41:08Z</dcterms:modified>
</cp:coreProperties>
</file>

<file path=docProps/custom.xml><?xml version="1.0" encoding="utf-8"?>
<Properties xmlns="http://schemas.openxmlformats.org/officeDocument/2006/custom-properties" xmlns:vt="http://schemas.openxmlformats.org/officeDocument/2006/docPropsVTypes"/>
</file>