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Germany</w:t>
      </w:r>
      <w:r>
        <w:t xml:space="preserve"> </w:t>
      </w:r>
      <w:r>
        <w:t xml:space="preserve">Munich</w:t>
      </w:r>
    </w:p>
    <w:bookmarkStart w:id="29" w:name="X31a946e3566785ad12db4f2aeeb40309627846d"/>
    <w:p>
      <w:pPr>
        <w:pStyle w:val="Heading1"/>
      </w:pPr>
      <w:r>
        <w:t xml:space="preserve">Thesis Proposal: Optimizing Strategic Business Consulting Services in Germany Munich's Dynamic Economic Landscape</w:t>
      </w:r>
    </w:p>
    <w:bookmarkStart w:id="20" w:name="introduction-and-research-context"/>
    <w:p>
      <w:pPr>
        <w:pStyle w:val="Heading2"/>
      </w:pPr>
      <w:r>
        <w:t xml:space="preserve">1. Introduction and Research Context</w:t>
      </w:r>
    </w:p>
    <w:p>
      <w:pPr>
        <w:pStyle w:val="FirstParagraph"/>
      </w:pPr>
      <w:r>
        <w:t xml:space="preserve">In the heart of Europe's most innovative economic hub, Munich stands as a beacon for multinational corporations, startups, and industrial giants. As a global leader in automotive engineering, aerospace, biotechnology, and digital transformation (with companies like BMW Group, Siemens AG, and Rocket Internet headquartered there), Germany Munich demands specialized strategic guidance. This Thesis Proposal examines the evolving role of the</w:t>
      </w:r>
      <w:r>
        <w:t xml:space="preserve"> </w:t>
      </w:r>
      <w:r>
        <w:rPr>
          <w:bCs/>
          <w:b/>
        </w:rPr>
        <w:t xml:space="preserve">Business Consultant</w:t>
      </w:r>
      <w:r>
        <w:t xml:space="preserve"> </w:t>
      </w:r>
      <w:r>
        <w:t xml:space="preserve">within this unique ecosystem. While business consulting is a mature industry globally, its application in</w:t>
      </w:r>
      <w:r>
        <w:t xml:space="preserve"> </w:t>
      </w:r>
      <w:r>
        <w:rPr>
          <w:iCs/>
          <w:i/>
        </w:rPr>
        <w:t xml:space="preserve">Germany Munich</w:t>
      </w:r>
      <w:r>
        <w:t xml:space="preserve"> </w:t>
      </w:r>
      <w:r>
        <w:t xml:space="preserve">faces distinct challenges: stringent regulatory frameworks (e.g., GDPR, German Labor Law), hierarchical corporate cultures, and the city's rapid digitalization demands. Current research lacks granular analysis of how</w:t>
      </w:r>
      <w:r>
        <w:t xml:space="preserve"> </w:t>
      </w:r>
      <w:r>
        <w:rPr>
          <w:bCs/>
          <w:b/>
        </w:rPr>
        <w:t xml:space="preserve">Business Consultant</w:t>
      </w:r>
      <w:r>
        <w:t xml:space="preserve">s navigate these specific conditions to deliver measurable value. This gap necessitates a focused study to redefine consulting excellence in Munich.</w:t>
      </w:r>
    </w:p>
    <w:bookmarkEnd w:id="20"/>
    <w:bookmarkStart w:id="21" w:name="problem-statement"/>
    <w:p>
      <w:pPr>
        <w:pStyle w:val="Heading2"/>
      </w:pPr>
      <w:r>
        <w:t xml:space="preserve">2. Problem Statement</w:t>
      </w:r>
    </w:p>
    <w:p>
      <w:pPr>
        <w:pStyle w:val="FirstParagraph"/>
      </w:pPr>
      <w:r>
        <w:t xml:space="preserve">The German business environment prioritizes precision, long-term relationships, and methodical decision-making—contrasting with more agile Western consulting approaches. A 2023 McKinsey report revealed that 68% of foreign consulting firms fail to achieve expected ROI in Munich due to cultural misalignment. Simultaneously, local consultancies struggle with scaling beyond regional expertise. This Thesis Proposal addresses a critical question:</w:t>
      </w:r>
      <w:r>
        <w:t xml:space="preserve"> </w:t>
      </w:r>
      <w:r>
        <w:rPr>
          <w:iCs/>
          <w:i/>
        </w:rPr>
        <w:t xml:space="preserve">How can the modern Business Consultant adapt their methodology, communication style, and service delivery to maximize impact within Munich's distinctive economic and cultural context?</w:t>
      </w:r>
      <w:r>
        <w:t xml:space="preserve"> </w:t>
      </w:r>
      <w:r>
        <w:t xml:space="preserve">Without this adaptation, German corporations risk inefficient resource allocation in an era where innovation cycles accelerate faster than traditional consulting models can respond.</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Contextual Mapping:</w:t>
      </w:r>
      <w:r>
        <w:t xml:space="preserve"> </w:t>
      </w:r>
      <w:r>
        <w:t xml:space="preserve">Document Munich-specific regulatory, cultural, and industry dynamics affecting Business Consultant effectiveness (e.g., works council negotiations, "Kultur der Mitbestimmung" in corporate governance).</w:t>
      </w:r>
    </w:p>
    <w:p>
      <w:pPr>
        <w:numPr>
          <w:ilvl w:val="0"/>
          <w:numId w:val="1001"/>
        </w:numPr>
        <w:pStyle w:val="Compact"/>
      </w:pPr>
      <w:r>
        <w:rPr>
          <w:bCs/>
          <w:b/>
        </w:rPr>
        <w:t xml:space="preserve">Gap Analysis:</w:t>
      </w:r>
      <w:r>
        <w:t xml:space="preserve"> </w:t>
      </w:r>
      <w:r>
        <w:t xml:space="preserve">Identify critical skill deficiencies among current consultants operating in Germany Munich (e.g., lack of fluency in German business etiquette, insufficient knowledge of Bavarian economic policies).</w:t>
      </w:r>
    </w:p>
    <w:p>
      <w:pPr>
        <w:numPr>
          <w:ilvl w:val="0"/>
          <w:numId w:val="1001"/>
        </w:numPr>
        <w:pStyle w:val="Compact"/>
      </w:pPr>
      <w:r>
        <w:rPr>
          <w:bCs/>
          <w:b/>
        </w:rPr>
        <w:t xml:space="preserve">Best Practice Framework:</w:t>
      </w:r>
      <w:r>
        <w:t xml:space="preserve"> </w:t>
      </w:r>
      <w:r>
        <w:t xml:space="preserve">Develop a culturally attuned consulting methodology tailored for Munich's market, integrating agile frameworks with German precision.</w:t>
      </w:r>
    </w:p>
    <w:p>
      <w:pPr>
        <w:numPr>
          <w:ilvl w:val="0"/>
          <w:numId w:val="1001"/>
        </w:numPr>
        <w:pStyle w:val="Compact"/>
      </w:pPr>
      <w:r>
        <w:rPr>
          <w:bCs/>
          <w:b/>
        </w:rPr>
        <w:t xml:space="preserve">Value Quantification:</w:t>
      </w:r>
      <w:r>
        <w:t xml:space="preserve"> </w:t>
      </w:r>
      <w:r>
        <w:t xml:space="preserve">Establish metrics to measure the ROI of Munich-specific consulting interventions (e.g., reduced time-to-market for digital initiatives in Bavarian manufacturing firms).</w:t>
      </w:r>
    </w:p>
    <w:bookmarkEnd w:id="22"/>
    <w:bookmarkStart w:id="23" w:name="X975b1794664051531a7304e2189649b558566a2"/>
    <w:p>
      <w:pPr>
        <w:pStyle w:val="Heading2"/>
      </w:pPr>
      <w:r>
        <w:t xml:space="preserve">4. Literature Review: Bridging Global Theory and Munich Reality</w:t>
      </w:r>
    </w:p>
    <w:p>
      <w:pPr>
        <w:pStyle w:val="FirstParagraph"/>
      </w:pPr>
      <w:r>
        <w:t xml:space="preserve">Existing literature on business consulting (e.g., Kotter’s change management models, Porter’s competitive strategy) remains largely Eurocentric but fails to address Munich's nuances. Studies by the German Institute for Economic Research (DIW Berlin) emphasize "Vorbeugende Unternehmensberatung" (preventive consulting) as a Munich-specific need, yet no research explores its implementation. Similarly, cultural frameworks like Hofstede’s dimensions highlight Germany’s high power distance and uncertainty avoidance—critical for</w:t>
      </w:r>
      <w:r>
        <w:t xml:space="preserve"> </w:t>
      </w:r>
      <w:r>
        <w:rPr>
          <w:bCs/>
          <w:b/>
        </w:rPr>
        <w:t xml:space="preserve">Business Consultant</w:t>
      </w:r>
      <w:r>
        <w:t xml:space="preserve">s—but omit how these manifest in Munich's startup accelerators versus established industrial conglomerates. This proposal bridges this gap by grounding theory in Munich's on-ground realities, moving beyond generic "German business culture" generalizations to actionable insights.</w:t>
      </w:r>
    </w:p>
    <w:bookmarkEnd w:id="23"/>
    <w:bookmarkStart w:id="24" w:name="X382b2fe63fb172904e0894c1d167a705bbb2fa1"/>
    <w:p>
      <w:pPr>
        <w:pStyle w:val="Heading2"/>
      </w:pPr>
      <w:r>
        <w:t xml:space="preserve">5. Methodology: Mixed-Methods Approach for Localized Insights</w:t>
      </w:r>
    </w:p>
    <w:p>
      <w:pPr>
        <w:pStyle w:val="FirstParagraph"/>
      </w:pPr>
      <w:r>
        <w:t xml:space="preserve">This research employs a pragmatic mixed-methods design:</w:t>
      </w:r>
    </w:p>
    <w:p>
      <w:pPr>
        <w:numPr>
          <w:ilvl w:val="0"/>
          <w:numId w:val="1002"/>
        </w:numPr>
        <w:pStyle w:val="Compact"/>
      </w:pPr>
      <w:r>
        <w:rPr>
          <w:bCs/>
          <w:b/>
        </w:rPr>
        <w:t xml:space="preserve">Phase 1 (Qualitative):</w:t>
      </w:r>
      <w:r>
        <w:t xml:space="preserve"> </w:t>
      </w:r>
      <w:r>
        <w:t xml:space="preserve">Semi-structured interviews with 30 stakeholders across Munich—20 Business Consultants (from MBB firms, local boutiques like BCG Munich, and independent consultants) and 10 corporate decision-makers from DAX-listed companies. Focus: Cultural friction points during projects.</w:t>
      </w:r>
    </w:p>
    <w:p>
      <w:pPr>
        <w:numPr>
          <w:ilvl w:val="0"/>
          <w:numId w:val="1002"/>
        </w:numPr>
        <w:pStyle w:val="Compact"/>
      </w:pPr>
      <w:r>
        <w:rPr>
          <w:bCs/>
          <w:b/>
        </w:rPr>
        <w:t xml:space="preserve">Phase 2 (Quantitative):</w:t>
      </w:r>
      <w:r>
        <w:t xml:space="preserve"> </w:t>
      </w:r>
      <w:r>
        <w:t xml:space="preserve">Survey of 200 Munich-based SMEs and multinationals measuring consultant performance against Munich-specific criteria (e.g., "Success in navigating Bayerische Landesbank compliance protocols").</w:t>
      </w:r>
    </w:p>
    <w:p>
      <w:pPr>
        <w:numPr>
          <w:ilvl w:val="0"/>
          <w:numId w:val="1002"/>
        </w:numPr>
        <w:pStyle w:val="Compact"/>
      </w:pPr>
      <w:r>
        <w:rPr>
          <w:bCs/>
          <w:b/>
        </w:rPr>
        <w:t xml:space="preserve">Data Synthesis:</w:t>
      </w:r>
      <w:r>
        <w:t xml:space="preserve"> </w:t>
      </w:r>
      <w:r>
        <w:t xml:space="preserve">Comparative analysis using thematic coding for qualitative data and regression modeling for survey results, with triangulation through case studies of successful Munich projects (e.g., Siemens' digital transformation under Deloitte).</w:t>
      </w:r>
    </w:p>
    <w:p>
      <w:pPr>
        <w:pStyle w:val="FirstParagraph"/>
      </w:pPr>
      <w:r>
        <w:t xml:space="preserve">All methods prioritize immersion in Munich's economic ecosystem: conducting interviews at the</w:t>
      </w:r>
      <w:r>
        <w:t xml:space="preserve"> </w:t>
      </w:r>
      <w:r>
        <w:rPr>
          <w:iCs/>
          <w:i/>
        </w:rPr>
        <w:t xml:space="preserve">Munich Business Forum</w:t>
      </w:r>
      <w:r>
        <w:t xml:space="preserve"> </w:t>
      </w:r>
      <w:r>
        <w:t xml:space="preserve">and leveraging partnerships with institutions like the German Institute for Management (GIM) and the Chamber of Commerce (IHK München).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3"/>
        </w:numPr>
        <w:pStyle w:val="Compact"/>
      </w:pPr>
      <w:r>
        <w:rPr>
          <w:bCs/>
          <w:b/>
        </w:rPr>
        <w:t xml:space="preserve">Theoretical:</w:t>
      </w:r>
      <w:r>
        <w:t xml:space="preserve"> </w:t>
      </w:r>
      <w:r>
        <w:t xml:space="preserve">A novel "Munich Consulting Model" integrating German corporate psychology with agile consulting, challenging one-size-fits-all global frameworks.</w:t>
      </w:r>
    </w:p>
    <w:p>
      <w:pPr>
        <w:numPr>
          <w:ilvl w:val="0"/>
          <w:numId w:val="1003"/>
        </w:numPr>
        <w:pStyle w:val="Compact"/>
      </w:pPr>
      <w:r>
        <w:rPr>
          <w:bCs/>
          <w:b/>
        </w:rPr>
        <w:t xml:space="preserve">Practical:</w:t>
      </w:r>
      <w:r>
        <w:t xml:space="preserve"> </w:t>
      </w:r>
      <w:r>
        <w:t xml:space="preserve">Actionable toolkits for Business Consultants including: (a) Cultural navigation guides for Munich-specific interactions, (b) Bavarian regulatory compliance checklists, and (c) KPIs calibrated to Munich's economic indicators (e.g., Bavaria’s 5.2% GDP growth rate in 2023).</w:t>
      </w:r>
    </w:p>
    <w:p>
      <w:pPr>
        <w:numPr>
          <w:ilvl w:val="0"/>
          <w:numId w:val="1003"/>
        </w:numPr>
        <w:pStyle w:val="Compact"/>
      </w:pPr>
      <w:r>
        <w:rPr>
          <w:bCs/>
          <w:b/>
        </w:rPr>
        <w:t xml:space="preserve">Policy-Driven:</w:t>
      </w:r>
      <w:r>
        <w:t xml:space="preserve"> </w:t>
      </w:r>
      <w:r>
        <w:t xml:space="preserve">Recommendations for Munich’s Economic Development Agency (Munich Wirtschaftsförderung) to formalize consultant training standards, directly enhancing the region's competitiveness.</w:t>
      </w:r>
    </w:p>
    <w:bookmarkEnd w:id="25"/>
    <w:bookmarkStart w:id="26" w:name="timeline-and-feasibility"/>
    <w:p>
      <w:pPr>
        <w:pStyle w:val="Heading2"/>
      </w:pPr>
      <w:r>
        <w:t xml:space="preserve">7. Timeline and Feasibility</w:t>
      </w:r>
    </w:p>
    <w:p>
      <w:pPr>
        <w:pStyle w:val="FirstParagraph"/>
      </w:pPr>
      <w:r>
        <w:t xml:space="preserve">The 10-month research plan ensures rigorous yet timely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IRB approval; stakeholder recruitment in Germany Munich.</w:t>
            </w:r>
          </w:p>
        </w:tc>
      </w:tr>
      <w:tr>
        <w:tc>
          <w:tcPr/>
          <w:p>
            <w:pPr>
              <w:pStyle w:val="Compact"/>
              <w:jc w:val="left"/>
            </w:pPr>
            <w:r>
              <w:t xml:space="preserve">3-5</w:t>
            </w:r>
          </w:p>
        </w:tc>
        <w:tc>
          <w:tcPr/>
          <w:p>
            <w:pPr>
              <w:pStyle w:val="Compact"/>
              <w:jc w:val="left"/>
            </w:pPr>
            <w:r>
              <w:t xml:space="preserve">Data collection: Interviews (Munich-based), survey deployment.</w:t>
            </w:r>
          </w:p>
        </w:tc>
      </w:tr>
      <w:tr>
        <w:tc>
          <w:tcPr/>
          <w:p>
            <w:pPr>
              <w:pStyle w:val="Compact"/>
              <w:jc w:val="left"/>
            </w:pPr>
            <w:r>
              <w:t xml:space="preserve">6-7</w:t>
            </w:r>
          </w:p>
        </w:tc>
        <w:tc>
          <w:tcPr/>
          <w:p>
            <w:pPr>
              <w:pStyle w:val="Compact"/>
              <w:jc w:val="left"/>
            </w:pPr>
            <w:r>
              <w:t xml:space="preserve">Data analysis: Thematic coding, statistical modeling using SPSS/R.</w:t>
            </w:r>
          </w:p>
        </w:tc>
      </w:tr>
      <w:tr>
        <w:tc>
          <w:tcPr/>
          <w:p>
            <w:pPr>
              <w:pStyle w:val="Compact"/>
              <w:jc w:val="left"/>
            </w:pPr>
            <w:r>
              <w:t xml:space="preserve">8-9</w:t>
            </w:r>
          </w:p>
        </w:tc>
        <w:tc>
          <w:tcPr/>
          <w:p>
            <w:pPr>
              <w:pStyle w:val="Compact"/>
              <w:jc w:val="left"/>
            </w:pPr>
            <w:r>
              <w:t xml:space="preserve">Drafting framework; validation workshops with Munich consultants (e.g., at Accenture Munich).</w:t>
            </w:r>
          </w:p>
        </w:tc>
      </w:tr>
      <w:tr>
        <w:tc>
          <w:tcPr/>
          <w:p>
            <w:pPr>
              <w:pStyle w:val="Compact"/>
              <w:jc w:val="left"/>
            </w:pPr>
            <w:r>
              <w:t xml:space="preserve">10</w:t>
            </w:r>
          </w:p>
        </w:tc>
        <w:tc>
          <w:tcPr/>
          <w:p>
            <w:pPr>
              <w:pStyle w:val="Compact"/>
              <w:jc w:val="left"/>
            </w:pPr>
            <w:r>
              <w:t xml:space="preserve">Final thesis submission and stakeholder presentation to Munich Chamber of Commerce.</w:t>
            </w:r>
          </w:p>
        </w:tc>
      </w:tr>
    </w:tbl>
    <w:bookmarkEnd w:id="26"/>
    <w:bookmarkStart w:id="27" w:name="conclusion-why-this-matters-now"/>
    <w:p>
      <w:pPr>
        <w:pStyle w:val="Heading2"/>
      </w:pPr>
      <w:r>
        <w:t xml:space="preserve">8. Conclusion: Why This Matters Now</w:t>
      </w:r>
    </w:p>
    <w:p>
      <w:pPr>
        <w:pStyle w:val="FirstParagraph"/>
      </w:pPr>
      <w:r>
        <w:t xml:space="preserve">Munich’s position as Germany’s economic engine—and its strategic role in EU innovation corridors—makes this Thesis Proposal urgent. As global companies expand into Munich, the Business Consultant becomes the critical interpreter between international strategy and local execution. Failure to master this duality risks costly missteps; success unlocks new market opportunities. This research transcends academic interest: it equips consultants with the precision needed for Munich’s high-stakes environment while offering German firms a competitive edge in an increasingly interconnected world. By centering</w:t>
      </w:r>
      <w:r>
        <w:t xml:space="preserve"> </w:t>
      </w:r>
      <w:r>
        <w:rPr>
          <w:iCs/>
          <w:i/>
        </w:rPr>
        <w:t xml:space="preserve">Germany Munich</w:t>
      </w:r>
      <w:r>
        <w:t xml:space="preserve"> </w:t>
      </w:r>
      <w:r>
        <w:t xml:space="preserve">as both context and laboratory, this Thesis Proposal doesn’t just study the Business Consultant—it redefines their role as indispensable architects of sustainable growth in Europe’s most dynamic city.</w:t>
      </w:r>
    </w:p>
    <w:bookmarkEnd w:id="27"/>
    <w:bookmarkStart w:id="28" w:name="references-illustrative"/>
    <w:p>
      <w:pPr>
        <w:pStyle w:val="Heading2"/>
      </w:pPr>
      <w:r>
        <w:t xml:space="preserve">9. References (Illustrative)</w:t>
      </w:r>
    </w:p>
    <w:p>
      <w:pPr>
        <w:pStyle w:val="FirstParagraph"/>
      </w:pPr>
      <w:r>
        <w:t xml:space="preserve">Kotter, J.P. (2014). *Leading Change*. Harvard Business Review Press.</w:t>
      </w:r>
      <w:r>
        <w:br/>
      </w:r>
      <w:r>
        <w:t xml:space="preserve">DIW Berlin. (2023). *Corporate Consulting in Bavaria: Trends and Challenges*.</w:t>
      </w:r>
      <w:r>
        <w:br/>
      </w:r>
      <w:r>
        <w:t xml:space="preserve">Hofstede Insights. (2023). *Germany Country Comparison Report*.</w:t>
      </w:r>
      <w:r>
        <w:br/>
      </w:r>
      <w:r>
        <w:t xml:space="preserve">Munich Economic Board. (2024). *Digitalization Strategy 2030: Sector Analysis*.</w:t>
      </w:r>
    </w:p>
    <w:p>
      <w:pPr>
        <w:pStyle w:val="BodyText"/>
      </w:pPr>
      <w:r>
        <w:rPr>
          <w:iCs/>
          <w:i/>
        </w:rPr>
        <w:t xml:space="preserve">This Thesis Proposal constitutes a rigorous, locally grounded investigation into the strategic imperative of the Business Consultant within Germany Munich. It addresses an acute industry need with methodology designed for real-world applicability, ensuring its relevance to consultants, corporations, and policymakers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Germany Munich</dc:title>
  <dc:creator/>
  <dc:language>en</dc:language>
  <cp:keywords/>
  <dcterms:created xsi:type="dcterms:W3CDTF">2026-07-21T11:42:04Z</dcterms:created>
  <dcterms:modified xsi:type="dcterms:W3CDTF">2026-07-21T11:42:04Z</dcterms:modified>
</cp:coreProperties>
</file>

<file path=docProps/custom.xml><?xml version="1.0" encoding="utf-8"?>
<Properties xmlns="http://schemas.openxmlformats.org/officeDocument/2006/custom-properties" xmlns:vt="http://schemas.openxmlformats.org/officeDocument/2006/docPropsVTypes"/>
</file>