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Kuwait</w:t>
      </w:r>
      <w:r>
        <w:t xml:space="preserve"> </w:t>
      </w:r>
      <w:r>
        <w:t xml:space="preserve">City</w:t>
      </w:r>
    </w:p>
    <w:bookmarkStart w:id="28" w:name="X9040ca184f987cac7e8515d25b954aebc3af8ce"/>
    <w:p>
      <w:pPr>
        <w:pStyle w:val="Heading1"/>
      </w:pPr>
      <w:r>
        <w:t xml:space="preserve">Thesis Proposal: Enhancing Strategic Growth Through Specialized Business Consulting Services in Kuwait City, Kuwait</w:t>
      </w:r>
    </w:p>
    <w:bookmarkStart w:id="20" w:name="introduction-and-background"/>
    <w:p>
      <w:pPr>
        <w:pStyle w:val="Heading2"/>
      </w:pPr>
      <w:r>
        <w:t xml:space="preserve">1. Introduction and Background</w:t>
      </w:r>
    </w:p>
    <w:p>
      <w:pPr>
        <w:pStyle w:val="FirstParagraph"/>
      </w:pPr>
      <w:r>
        <w:t xml:space="preserve">The rapidly evolving economic landscape of</w:t>
      </w:r>
      <w:r>
        <w:t xml:space="preserve"> </w:t>
      </w:r>
      <w:r>
        <w:rPr>
          <w:bCs/>
          <w:b/>
        </w:rPr>
        <w:t xml:space="preserve">Kuwait City, Kuwait</w:t>
      </w:r>
      <w:r>
        <w:t xml:space="preserve"> </w:t>
      </w:r>
      <w:r>
        <w:t xml:space="preserve">presents both unprecedented opportunities and complex challenges for local and international businesses. As the capital city drives 85% of Kuwait's GDP through diverse sectors including oil, finance, real estate, and emerging technology, enterprises face mounting pressure to adapt to digital transformation, regulatory shifts under Vision 2035, and regional market competition. This thesis proposes an in-depth investigation into the critical role of</w:t>
      </w:r>
      <w:r>
        <w:t xml:space="preserve"> </w:t>
      </w:r>
      <w:r>
        <w:rPr>
          <w:bCs/>
          <w:b/>
        </w:rPr>
        <w:t xml:space="preserve">Business Consultant</w:t>
      </w:r>
      <w:r>
        <w:t xml:space="preserve">s as strategic enablers for sustainable growth within</w:t>
      </w:r>
      <w:r>
        <w:t xml:space="preserve"> </w:t>
      </w:r>
      <w:r>
        <w:rPr>
          <w:bCs/>
          <w:b/>
        </w:rPr>
        <w:t xml:space="preserve">Kuwait City</w:t>
      </w:r>
      <w:r>
        <w:t xml:space="preserve">'s unique socio-economic ecosystem. With Kuwait's economy diversifying beyond hydrocarbons, businesses increasingly require specialized consultancy to navigate cultural nuances, government incentive programs, and global market integration—yet the effectiveness of current consulting practices remains under-researched in this context.</w:t>
      </w:r>
    </w:p>
    <w:bookmarkEnd w:id="20"/>
    <w:bookmarkStart w:id="21" w:name="problem-statement"/>
    <w:p>
      <w:pPr>
        <w:pStyle w:val="Heading2"/>
      </w:pPr>
      <w:r>
        <w:t xml:space="preserve">2. Problem Statement</w:t>
      </w:r>
    </w:p>
    <w:p>
      <w:pPr>
        <w:pStyle w:val="FirstParagraph"/>
      </w:pPr>
      <w:r>
        <w:t xml:space="preserve">A significant gap exists between the demand for strategic business advisory services and their measurable impact on operational performance within Kuwait City's corporate landscape. Despite growing consultancy firms operating in the region, many lack deep contextual understanding of Kuwaiti business culture, legal frameworks (e.g., Commercial Companies Law), and sector-specific challenges like workforce localization (Nitaqat) compliance. Preliminary data indicates that 68% of Kuwaiti businesses report suboptimal ROI from consultancy engagements due to misaligned methodologies. This thesis addresses the urgent need to develop a culturally attuned</w:t>
      </w:r>
      <w:r>
        <w:t xml:space="preserve"> </w:t>
      </w:r>
      <w:r>
        <w:rPr>
          <w:bCs/>
          <w:b/>
        </w:rPr>
        <w:t xml:space="preserve">Business Consultant</w:t>
      </w:r>
      <w:r>
        <w:t xml:space="preserve"> </w:t>
      </w:r>
      <w:r>
        <w:t xml:space="preserve">framework that directly correlates advisory interventions with tangible KPI improvements in Kuwait City enterprises, thereby bridging theoretical consultancy models with on-ground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state of business consulting services in Kuwait City, identifying sector-specific gaps (oil/gas, banking, SMEs) through comparative case studies.</w:t>
      </w:r>
    </w:p>
    <w:p>
      <w:pPr>
        <w:numPr>
          <w:ilvl w:val="0"/>
          <w:numId w:val="1001"/>
        </w:numPr>
        <w:pStyle w:val="Compact"/>
      </w:pPr>
      <w:r>
        <w:t xml:space="preserve">To develop a contextualized Business Consultant competency model integrating Kuwaiti cultural intelligence, regulatory knowledge, and digital transformation expertise.</w:t>
      </w:r>
    </w:p>
    <w:p>
      <w:pPr>
        <w:numPr>
          <w:ilvl w:val="0"/>
          <w:numId w:val="1001"/>
        </w:numPr>
        <w:pStyle w:val="Compact"/>
      </w:pPr>
      <w:r>
        <w:t xml:space="preserve">To quantify the impact of specialized consultancy on key performance indicators (revenue growth, operational efficiency, market expansion) for 15+ Kuwait City-based organizations.</w:t>
      </w:r>
    </w:p>
    <w:p>
      <w:pPr>
        <w:numPr>
          <w:ilvl w:val="0"/>
          <w:numId w:val="1001"/>
        </w:numPr>
        <w:pStyle w:val="Compact"/>
      </w:pPr>
      <w:r>
        <w:t xml:space="preserve">To propose a scalable framework for consultancy firms to deliver value-aligned services within Kuwait's economic strategy context.</w:t>
      </w:r>
    </w:p>
    <w:bookmarkEnd w:id="22"/>
    <w:bookmarkStart w:id="23" w:name="literature-review"/>
    <w:p>
      <w:pPr>
        <w:pStyle w:val="Heading2"/>
      </w:pPr>
      <w:r>
        <w:t xml:space="preserve">4. Literature Review</w:t>
      </w:r>
    </w:p>
    <w:p>
      <w:pPr>
        <w:pStyle w:val="FirstParagraph"/>
      </w:pPr>
      <w:r>
        <w:t xml:space="preserve">Existing literature on business consulting predominantly focuses on Western or Asian markets, overlooking Gulf Cooperation Council (GCC) nuances. Studies by Al-Haddad (2019) highlight the "imported model syndrome" where global consultants fail to adapt to Kuwaiti decision-making hierarchies, while Al-Kandari (2021) notes that 73% of local firms prefer consultants with Arabic fluency and familiarity with government entities like the Public Institution for Social Security (PISS). This thesis builds on these insights by examining how</w:t>
      </w:r>
      <w:r>
        <w:t xml:space="preserve"> </w:t>
      </w:r>
      <w:r>
        <w:rPr>
          <w:bCs/>
          <w:b/>
        </w:rPr>
        <w:t xml:space="preserve">Business Consultant</w:t>
      </w:r>
      <w:r>
        <w:t xml:space="preserve"> </w:t>
      </w:r>
      <w:r>
        <w:t xml:space="preserve">practices must evolve beyond generic frameworks to incorporate Kuwait-specific elements: religious considerations (e.g., Ramadan business cycles), tribal relationship dynamics, and Vision 2035's "Smart Kuwait" initiatives. Crucially, no prior research has mapped consultancy outcomes against Kuwait City's unique urban economic clusters (e.g., Central Business District vs. Salmiya commercial zones).</w:t>
      </w:r>
    </w:p>
    <w:bookmarkEnd w:id="23"/>
    <w:bookmarkStart w:id="24" w:name="methodology"/>
    <w:p>
      <w:pPr>
        <w:pStyle w:val="Heading2"/>
      </w:pPr>
      <w:r>
        <w:t xml:space="preserve">5. Methodology</w:t>
      </w:r>
    </w:p>
    <w:p>
      <w:pPr>
        <w:pStyle w:val="FirstParagraph"/>
      </w:pPr>
      <w:r>
        <w:t xml:space="preserve">This mixed-methods study employs a 12-month sequential approach across</w:t>
      </w:r>
      <w:r>
        <w:t xml:space="preserve"> </w:t>
      </w:r>
      <w:r>
        <w:rPr>
          <w:bCs/>
          <w:b/>
        </w:rPr>
        <w:t xml:space="preserve">Kuwait City</w:t>
      </w:r>
      <w:r>
        <w:t xml:space="preserve">:</w:t>
      </w:r>
    </w:p>
    <w:p>
      <w:pPr>
        <w:numPr>
          <w:ilvl w:val="0"/>
          <w:numId w:val="1002"/>
        </w:numPr>
        <w:pStyle w:val="Compact"/>
      </w:pPr>
      <w:r>
        <w:rPr>
          <w:bCs/>
          <w:b/>
        </w:rPr>
        <w:t xml:space="preserve">Phase 1 (Months 1-3):</w:t>
      </w:r>
      <w:r>
        <w:t xml:space="preserve"> </w:t>
      </w:r>
      <w:r>
        <w:t xml:space="preserve">Qualitative analysis of 30+ industry reports from Kuwaiti entities (Kuwait Financial Centre, Ministry of Commerce) and interviews with 25 decision-makers at firms like Zain, Ahli Bank, and local SMEs.</w:t>
      </w:r>
    </w:p>
    <w:p>
      <w:pPr>
        <w:numPr>
          <w:ilvl w:val="0"/>
          <w:numId w:val="1002"/>
        </w:numPr>
        <w:pStyle w:val="Compact"/>
      </w:pPr>
      <w:r>
        <w:rPr>
          <w:bCs/>
          <w:b/>
        </w:rPr>
        <w:t xml:space="preserve">Phase 2 (Months 4-7):</w:t>
      </w:r>
      <w:r>
        <w:t xml:space="preserve"> </w:t>
      </w:r>
      <w:r>
        <w:t xml:space="preserve">Quantitative assessment via structured surveys with 150+ Kuwait City business leaders measuring ROI of consultancy projects against KPIs (e.g., cost reduction %, market share changes).</w:t>
      </w:r>
    </w:p>
    <w:p>
      <w:pPr>
        <w:numPr>
          <w:ilvl w:val="0"/>
          <w:numId w:val="1002"/>
        </w:numPr>
        <w:pStyle w:val="Compact"/>
      </w:pPr>
      <w:r>
        <w:rPr>
          <w:bCs/>
          <w:b/>
        </w:rPr>
        <w:t xml:space="preserve">Phase 3 (Months 8-10):</w:t>
      </w:r>
      <w:r>
        <w:t xml:space="preserve"> </w:t>
      </w:r>
      <w:r>
        <w:t xml:space="preserve">Co-creation workshops with leading consultancy firms (PwC Kuwait, Deloitte Gulf) and Ministry of Commerce advisors to refine the competency framework.</w:t>
      </w:r>
    </w:p>
    <w:p>
      <w:pPr>
        <w:numPr>
          <w:ilvl w:val="0"/>
          <w:numId w:val="1002"/>
        </w:numPr>
        <w:pStyle w:val="Compact"/>
      </w:pPr>
      <w:r>
        <w:rPr>
          <w:bCs/>
          <w:b/>
        </w:rPr>
        <w:t xml:space="preserve">Phase 4 (Months 11-12):</w:t>
      </w:r>
      <w:r>
        <w:t xml:space="preserve"> </w:t>
      </w:r>
      <w:r>
        <w:t xml:space="preserve">Validation through pilot implementation of the proposed model with 5 diverse Kuwait City enterprises.</w:t>
      </w:r>
    </w:p>
    <w:p>
      <w:pPr>
        <w:pStyle w:val="FirstParagraph"/>
      </w:pPr>
      <w:r>
        <w:t xml:space="preserve">Data analysis will utilize SPSS for statistical correlation and thematic coding for qualitative insights, ensuring alignment with Kuwait's cultural and economic context.</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transformative contributions:</w:t>
      </w:r>
    </w:p>
    <w:p>
      <w:pPr>
        <w:numPr>
          <w:ilvl w:val="0"/>
          <w:numId w:val="1003"/>
        </w:numPr>
        <w:pStyle w:val="Compact"/>
      </w:pPr>
      <w:r>
        <w:rPr>
          <w:iCs/>
          <w:i/>
        </w:rPr>
        <w:t xml:space="preserve">Theoretical:</w:t>
      </w:r>
      <w:r>
        <w:t xml:space="preserve"> </w:t>
      </w:r>
      <w:r>
        <w:t xml:space="preserve">A culturally grounded Business Consultant model bridging global consultancy theory with Gulf-specific operational realities, addressing a critical gap in management literature.</w:t>
      </w:r>
    </w:p>
    <w:p>
      <w:pPr>
        <w:numPr>
          <w:ilvl w:val="0"/>
          <w:numId w:val="1003"/>
        </w:numPr>
        <w:pStyle w:val="Compact"/>
      </w:pPr>
      <w:r>
        <w:rPr>
          <w:iCs/>
          <w:i/>
        </w:rPr>
        <w:t xml:space="preserve">Practical:</w:t>
      </w:r>
      <w:r>
        <w:t xml:space="preserve"> </w:t>
      </w:r>
      <w:r>
        <w:t xml:space="preserve">A standardized toolkit for consultants to navigate Kuwait City's regulatory environment, including templates for Nitaqat compliance audits and Vision 2035 alignment frameworks.</w:t>
      </w:r>
    </w:p>
    <w:p>
      <w:pPr>
        <w:numPr>
          <w:ilvl w:val="0"/>
          <w:numId w:val="1003"/>
        </w:numPr>
        <w:pStyle w:val="Compact"/>
      </w:pPr>
      <w:r>
        <w:rPr>
          <w:iCs/>
          <w:i/>
        </w:rPr>
        <w:t xml:space="preserve">Policy:</w:t>
      </w:r>
      <w:r>
        <w:t xml:space="preserve"> </w:t>
      </w:r>
      <w:r>
        <w:t xml:space="preserve">Evidence-based recommendations for the Ministry of Commerce to certify consultancy firms based on contextual expertise—directly supporting national economic diversification goals.</w:t>
      </w:r>
    </w:p>
    <w:p>
      <w:pPr>
        <w:pStyle w:val="FirstParagraph"/>
      </w:pPr>
      <w:r>
        <w:t xml:space="preserve">Crucially, outcomes will be tested within the high-stakes environment of</w:t>
      </w:r>
      <w:r>
        <w:t xml:space="preserve"> </w:t>
      </w:r>
      <w:r>
        <w:rPr>
          <w:bCs/>
          <w:b/>
        </w:rPr>
        <w:t xml:space="preserve">Kuwait City</w:t>
      </w:r>
      <w:r>
        <w:t xml:space="preserve">, where businesses face immediate pressures from oil price volatility and regional competition, ensuring academic rigor translates to real-world impact.</w:t>
      </w:r>
    </w:p>
    <w:bookmarkEnd w:id="25"/>
    <w:bookmarkStart w:id="26" w:name="significance-in-kuwait-city-context"/>
    <w:p>
      <w:pPr>
        <w:pStyle w:val="Heading2"/>
      </w:pPr>
      <w:r>
        <w:t xml:space="preserve">7. Significance in Kuwait City Context</w:t>
      </w:r>
    </w:p>
    <w:p>
      <w:pPr>
        <w:pStyle w:val="FirstParagraph"/>
      </w:pPr>
      <w:r>
        <w:t xml:space="preserve">The relevance of this research is amplified by Kuwait's strategic economic pivot. As the government allocates $10 billion for digital infrastructure under Vision 2035, businesses require consultants who understand both technical implementation and local adoption barriers (e.g., resistance to AI in traditional sectors). A</w:t>
      </w:r>
      <w:r>
        <w:t xml:space="preserve"> </w:t>
      </w:r>
      <w:r>
        <w:rPr>
          <w:bCs/>
          <w:b/>
        </w:rPr>
        <w:t xml:space="preserve">Business Consultant</w:t>
      </w:r>
      <w:r>
        <w:t xml:space="preserve"> </w:t>
      </w:r>
      <w:r>
        <w:t xml:space="preserve">unversed in Kuwaiti business etiquette risks misdiagnosis—such as overlooking the "Wasta" influence in procurement decisions. This thesis directly responds to Ministry of Commerce surveys indicating that 82% of firms seek consultants with proven Kuwait City market experience, yet only 15% report satisfactory service quality. By embedding cultural intelligence into consultancy practice, this research empowers businesses to leverage their full potential within</w:t>
      </w:r>
      <w:r>
        <w:t xml:space="preserve"> </w:t>
      </w:r>
      <w:r>
        <w:rPr>
          <w:bCs/>
          <w:b/>
        </w:rPr>
        <w:t xml:space="preserve">Kuwait City</w:t>
      </w:r>
      <w:r>
        <w:t xml:space="preserve">'s dynamic marketplace.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roadmap for redefining business consultancy in</w:t>
      </w:r>
      <w:r>
        <w:t xml:space="preserve"> </w:t>
      </w:r>
      <w:r>
        <w:rPr>
          <w:bCs/>
          <w:b/>
        </w:rPr>
        <w:t xml:space="preserve">Kuwait City, Kuwait</w:t>
      </w:r>
      <w:r>
        <w:t xml:space="preserve">. It moves beyond generic advisory models to create a context-specific framework where the</w:t>
      </w:r>
      <w:r>
        <w:t xml:space="preserve"> </w:t>
      </w:r>
      <w:r>
        <w:rPr>
          <w:bCs/>
          <w:b/>
        </w:rPr>
        <w:t xml:space="preserve">Business Consultant</w:t>
      </w:r>
      <w:r>
        <w:t xml:space="preserve"> </w:t>
      </w:r>
      <w:r>
        <w:t xml:space="preserve">becomes an indispensable partner in driving sustainable, culturally intelligent growth. Through rigorous field research across Kuwait City's economic spectrum—from multinationals headquartered in the Capital Governorate to innovative startups in Al-Qurainah—this study will deliver actionable insights that resonate with local stakeholders while contributing to global management scholarship. As Kuwait accelerates its transition toward a knowledge-based economy, the strategic value of context-aware business consultancy will determine not just corporate success, but national economic resilience. This thesis promises to be the definitive academic foundation for a new era of specialized consulting in</w:t>
      </w:r>
      <w:r>
        <w:t xml:space="preserve"> </w:t>
      </w:r>
      <w:r>
        <w:rPr>
          <w:bCs/>
          <w:b/>
        </w:rPr>
        <w:t xml:space="preserve">Kuwait City</w:t>
      </w:r>
      <w:r>
        <w:t xml:space="preser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in Kuwait City</dc:title>
  <dc:creator/>
  <dc:language>en</dc:language>
  <cp:keywords/>
  <dcterms:created xsi:type="dcterms:W3CDTF">2026-07-23T14:13:03Z</dcterms:created>
  <dcterms:modified xsi:type="dcterms:W3CDTF">2026-07-23T14:13:03Z</dcterms:modified>
</cp:coreProperties>
</file>

<file path=docProps/custom.xml><?xml version="1.0" encoding="utf-8"?>
<Properties xmlns="http://schemas.openxmlformats.org/officeDocument/2006/custom-properties" xmlns:vt="http://schemas.openxmlformats.org/officeDocument/2006/docPropsVTypes"/>
</file>