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4b04c72e0dd8470d10c7739920a30e09f38eaf"/>
    <w:p>
      <w:pPr>
        <w:pStyle w:val="Heading1"/>
      </w:pPr>
      <w:r>
        <w:t xml:space="preserve">Thesis Proposal: Enhancing Strategic Agility through Business Consulting in Malaysia Kuala Lumpur</w:t>
      </w:r>
    </w:p>
    <w:bookmarkStart w:id="20" w:name="introduction"/>
    <w:p>
      <w:pPr>
        <w:pStyle w:val="Heading2"/>
      </w:pPr>
      <w:r>
        <w:t xml:space="preserve">Introduction</w:t>
      </w:r>
    </w:p>
    <w:p>
      <w:pPr>
        <w:pStyle w:val="FirstParagraph"/>
      </w:pPr>
      <w:r>
        <w:t xml:space="preserve">The dynamic economic landscape of Malaysia, particularly within the vibrant hub of Kuala Lumpur, demands innovative solutions for sustainable business growth. As a leading Southeast Asian economy with a GDP exceeding $450 billion (World Bank, 2023), Malaysia faces evolving challenges including digital transformation, global competitiveness, and socio-economic diversification. This Thesis Proposal investigates the critical role of the</w:t>
      </w:r>
      <w:r>
        <w:t xml:space="preserve"> </w:t>
      </w:r>
      <w:r>
        <w:rPr>
          <w:iCs/>
          <w:i/>
        </w:rPr>
        <w:t xml:space="preserve">Business Consultant</w:t>
      </w:r>
      <w:r>
        <w:t xml:space="preserve"> </w:t>
      </w:r>
      <w:r>
        <w:t xml:space="preserve">as a strategic enabler for enterprises operating within</w:t>
      </w:r>
      <w:r>
        <w:t xml:space="preserve"> </w:t>
      </w:r>
      <w:r>
        <w:rPr>
          <w:iCs/>
          <w:i/>
        </w:rPr>
        <w:t xml:space="preserve">Malaysia Kuala Lumpur</w:t>
      </w:r>
      <w:r>
        <w:t xml:space="preserve">. The research aims to evaluate how specialized consulting services drive operational excellence, innovation adoption, and market expansion specifically within KL's unique business ecosystem – encompassing multinational corporations (MNCs), small and medium enterprises (SMEs), and government-linked companies (GLCs).</w:t>
      </w:r>
    </w:p>
    <w:bookmarkEnd w:id="20"/>
    <w:bookmarkStart w:id="21" w:name="research-problem-statement"/>
    <w:p>
      <w:pPr>
        <w:pStyle w:val="Heading2"/>
      </w:pPr>
      <w:r>
        <w:t xml:space="preserve">Research Problem Statement</w:t>
      </w:r>
    </w:p>
    <w:p>
      <w:pPr>
        <w:pStyle w:val="FirstParagraph"/>
      </w:pPr>
      <w:r>
        <w:t xml:space="preserve">Despite Malaysia's ambitious national initiatives like the National Transformation Plan 2016-2020 and MyDigital Blueprint 2025, many businesses in Kuala Lumpur struggle with implementation gaps. A recent MDEC report (2023) indicates that 68% of KL-based SMEs cite strategic planning and operational inefficiencies as primary growth barriers. While the</w:t>
      </w:r>
      <w:r>
        <w:t xml:space="preserve"> </w:t>
      </w:r>
      <w:r>
        <w:rPr>
          <w:iCs/>
          <w:i/>
        </w:rPr>
        <w:t xml:space="preserve">Business Consultant</w:t>
      </w:r>
      <w:r>
        <w:t xml:space="preserve"> </w:t>
      </w:r>
      <w:r>
        <w:t xml:space="preserve">industry in Malaysia has grown by 14% annually (Malaysian Consultancy Association, 2023), there is a significant lack of localized research analyzing their tangible impact on business outcomes within KL's specific socio-economic context. This gap impedes evidence-based strategy for both consulting firms and their clients navigating the complexities of</w:t>
      </w:r>
      <w:r>
        <w:t xml:space="preserve"> </w:t>
      </w:r>
      <w:r>
        <w:rPr>
          <w:iCs/>
          <w:i/>
        </w:rPr>
        <w:t xml:space="preserve">Malaysia Kuala Lumpur</w:t>
      </w:r>
      <w:r>
        <w:t xml:space="preserve">'s market – characterized by multilingual dynamics, Bumiputera economic policies, and rapid urbanization.</w:t>
      </w:r>
    </w:p>
    <w:bookmarkEnd w:id="21"/>
    <w:bookmarkStart w:id="22" w:name="literature-review"/>
    <w:p>
      <w:pPr>
        <w:pStyle w:val="Heading2"/>
      </w:pPr>
      <w:r>
        <w:t xml:space="preserve">Literature Review</w:t>
      </w:r>
    </w:p>
    <w:p>
      <w:pPr>
        <w:pStyle w:val="FirstParagraph"/>
      </w:pPr>
      <w:r>
        <w:t xml:space="preserve">Existing scholarship on business consultancy predominantly focuses on Western models (e.g., McKinsey, Bain), with limited application to emerging Asian contexts. Studies by Tan &amp; Lee (2021) highlight the "cultural fit" challenge for foreign consultants in Malaysia, noting that 73% of local firms prefer consultants fluent in Malay and familiar with B40/M40 market dynamics. Research by the University of Malaya (2022) emphasizes that successful</w:t>
      </w:r>
      <w:r>
        <w:t xml:space="preserve"> </w:t>
      </w:r>
      <w:r>
        <w:rPr>
          <w:iCs/>
          <w:i/>
        </w:rPr>
        <w:t xml:space="preserve">Business Consultant</w:t>
      </w:r>
      <w:r>
        <w:t xml:space="preserve"> </w:t>
      </w:r>
      <w:r>
        <w:t xml:space="preserve">engagements in KL require understanding the intersection of Islamic finance principles, government incentives (e.g., MIDA), and digital adoption barriers for SMEs. However, no comprehensive framework exists to measure ROI specifically for consultancy services tailored to</w:t>
      </w:r>
      <w:r>
        <w:t xml:space="preserve"> </w:t>
      </w:r>
      <w:r>
        <w:rPr>
          <w:iCs/>
          <w:i/>
        </w:rPr>
        <w:t xml:space="preserve">Malaysia Kuala Lumpur</w:t>
      </w:r>
      <w:r>
        <w:t xml:space="preserve">'s industrial clusters – from fintech in the KL Sentral district to manufacturing in Klang Valley.</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registered and operational Business Consultants serving businesses in Kuala Lumpur, analyzing their service specializations, client profiles, and regional focus.</w:t>
      </w:r>
    </w:p>
    <w:p>
      <w:pPr>
        <w:numPr>
          <w:ilvl w:val="0"/>
          <w:numId w:val="1001"/>
        </w:numPr>
        <w:pStyle w:val="Compact"/>
      </w:pPr>
      <w:r>
        <w:t xml:space="preserve">To quantify the impact of consultant-driven strategies on key performance indicators (KPIs) – including revenue growth, cost efficiency, digital adoption rates (e.g., AI/CRM tools), and market expansion – for SMEs and GLCs in KL.</w:t>
      </w:r>
    </w:p>
    <w:p>
      <w:pPr>
        <w:numPr>
          <w:ilvl w:val="0"/>
          <w:numId w:val="1001"/>
        </w:numPr>
        <w:pStyle w:val="Compact"/>
      </w:pPr>
      <w:r>
        <w:t xml:space="preserve">To identify cultural, regulatory, and operational challenges unique to implementing consultancy recommendations within the</w:t>
      </w:r>
      <w:r>
        <w:t xml:space="preserve"> </w:t>
      </w:r>
      <w:r>
        <w:rPr>
          <w:iCs/>
          <w:i/>
        </w:rPr>
        <w:t xml:space="preserve">Malaysia Kuala Lumpur</w:t>
      </w:r>
      <w:r>
        <w:t xml:space="preserve"> </w:t>
      </w:r>
      <w:r>
        <w:t xml:space="preserve">business environment.</w:t>
      </w:r>
    </w:p>
    <w:p>
      <w:pPr>
        <w:numPr>
          <w:ilvl w:val="0"/>
          <w:numId w:val="1001"/>
        </w:numPr>
        <w:pStyle w:val="Compact"/>
      </w:pPr>
      <w:r>
        <w:t xml:space="preserve">To develop a context-specific framework ("KL Consultancy Impact Model") for optimizing engagement between Business Consultants and clients in Malaysia's capital city.</w:t>
      </w:r>
    </w:p>
    <w:bookmarkEnd w:id="23"/>
    <w:bookmarkStart w:id="24" w:name="methodology"/>
    <w:p>
      <w:pPr>
        <w:pStyle w:val="Heading2"/>
      </w:pPr>
      <w:r>
        <w:t xml:space="preserve">Methodology</w:t>
      </w:r>
    </w:p>
    <w:p>
      <w:pPr>
        <w:pStyle w:val="FirstParagraph"/>
      </w:pPr>
      <w:r>
        <w:t xml:space="preserve">This mixed-methods study will employ a sequential design over 18 months, centered on Kuala Lumpur. Phase 1 (Quantitative): A structured survey targeting 300 SMEs and MNC subsidiaries across KL’s key sectors (manufacturing, IT services, retail), utilizing stratified random sampling based on company size and industry cluster. The survey will measure pre-consultancy challenges versus post-engagement outcomes using Likert-scale KPIs. Phase 2 (Qualitative): In-depth interviews with 30 Business Consultants registered under the Malaysian Consultancy Association and 45 client decision-makers from KL-based firms, exploring nuanced experiences through thematic analysis. Data triangulation will incorporate secondary data from MDEC, DOSM reports, and government policy documents related to</w:t>
      </w:r>
      <w:r>
        <w:t xml:space="preserve"> </w:t>
      </w:r>
      <w:r>
        <w:rPr>
          <w:iCs/>
          <w:i/>
        </w:rPr>
        <w:t xml:space="preserve">Malaysia Kuala Lumpur</w:t>
      </w:r>
      <w:r>
        <w:t xml:space="preserve">'s economic development. Ethical approval will be sought from the University of Malaya’s Research Ethics Committee.</w:t>
      </w:r>
    </w:p>
    <w:bookmarkEnd w:id="24"/>
    <w:bookmarkStart w:id="25" w:name="expected-contribution"/>
    <w:p>
      <w:pPr>
        <w:pStyle w:val="Heading2"/>
      </w:pPr>
      <w:r>
        <w:t xml:space="preserve">Expected Contribution</w:t>
      </w:r>
    </w:p>
    <w:p>
      <w:pPr>
        <w:pStyle w:val="FirstParagraph"/>
      </w:pPr>
      <w:r>
        <w:t xml:space="preserve">This Thesis Proposal addresses a critical void by generating actionable insights for three key stakeholders: (1)</w:t>
      </w:r>
      <w:r>
        <w:t xml:space="preserve"> </w:t>
      </w:r>
      <w:r>
        <w:rPr>
          <w:iCs/>
          <w:i/>
        </w:rPr>
        <w:t xml:space="preserve">Business Consultants</w:t>
      </w:r>
      <w:r>
        <w:t xml:space="preserve"> </w:t>
      </w:r>
      <w:r>
        <w:t xml:space="preserve">in Malaysia Kuala Lumpur seeking to refine their service delivery models; (2) SMEs and MNC subsidiaries navigating KL’s competitive market, who will gain evidence on selecting effective consultants; and (3) Malaysian policymakers aiming to strengthen the consulting sector as part of national economic strategy. The proposed "KL Consultancy Impact Model" will provide a benchmark for measuring consultancy effectiveness beyond standard financial metrics, incorporating cultural alignment and policy responsiveness – crucial factors in</w:t>
      </w:r>
      <w:r>
        <w:t xml:space="preserve"> </w:t>
      </w:r>
      <w:r>
        <w:rPr>
          <w:iCs/>
          <w:i/>
        </w:rPr>
        <w:t xml:space="preserve">Malaysia Kuala Lumpur</w:t>
      </w:r>
      <w:r>
        <w:t xml:space="preserve">'s context.</w:t>
      </w:r>
    </w:p>
    <w:bookmarkEnd w:id="25"/>
    <w:bookmarkStart w:id="26" w:name="X71e7a4f70d1ed2f115f8e28504e8e8370f5555d"/>
    <w:p>
      <w:pPr>
        <w:pStyle w:val="Heading2"/>
      </w:pPr>
      <w:r>
        <w:t xml:space="preserve">Significance to Malaysia Kuala Lumpur Context</w:t>
      </w:r>
    </w:p>
    <w:p>
      <w:pPr>
        <w:pStyle w:val="FirstParagraph"/>
      </w:pPr>
      <w:r>
        <w:t xml:space="preserve">Kuala Lumpur’s status as Malaysia’s economic nerve center (housing 60% of the nation’s corporate HQs and 45% of FDI projects) makes localized consultancy research indispensable. The findings will directly inform initiatives like the KL City Strategic Plan 2030 and MDEC’s SME Digital Transformation Programme. For instance, understanding how consultants navigate Malaysia’s Bumiputera equity requirements or Islamic finance compliance can unlock growth for 85% of KL-based SMEs currently underutilizing these frameworks (NACSA Report, 2023). This research positions the</w:t>
      </w:r>
      <w:r>
        <w:t xml:space="preserve"> </w:t>
      </w:r>
      <w:r>
        <w:rPr>
          <w:iCs/>
          <w:i/>
        </w:rPr>
        <w:t xml:space="preserve">Business Consultant</w:t>
      </w:r>
      <w:r>
        <w:t xml:space="preserve"> </w:t>
      </w:r>
      <w:r>
        <w:t xml:space="preserve">not merely as an advisor, but as a catalyst for inclusive economic participation within</w:t>
      </w:r>
      <w:r>
        <w:t xml:space="preserve"> </w:t>
      </w:r>
      <w:r>
        <w:rPr>
          <w:iCs/>
          <w:i/>
        </w:rPr>
        <w:t xml:space="preserve">Malaysia Kuala Lumpur</w:t>
      </w:r>
      <w:r>
        <w:t xml:space="preserve">'s diverse business community – from Petaling Jaya tech startups to Penang-based exporters using KL headquarters.</w:t>
      </w:r>
    </w:p>
    <w:bookmarkEnd w:id="26"/>
    <w:bookmarkStart w:id="27" w:name="conclusion"/>
    <w:p>
      <w:pPr>
        <w:pStyle w:val="Heading2"/>
      </w:pPr>
      <w:r>
        <w:t xml:space="preserve">Conclusion</w:t>
      </w:r>
    </w:p>
    <w:p>
      <w:pPr>
        <w:pStyle w:val="FirstParagraph"/>
      </w:pPr>
      <w:r>
        <w:t xml:space="preserve">The integration of strategic consultancy expertise is vital for businesses aiming to thrive in the complex, fast-paced environment of Malaysia Kuala Lumpur. This Thesis Proposal outlines a rigorous investigation into how the Business Consultant functions as a pivotal agent of change within the city's economic fabric. By grounding analysis in KL’s unique market realities – including its policy landscape, cultural dynamics, and digital acceleration – this research will deliver a transformative framework for consultancy value creation. Ultimately, it seeks to elevate the professionalism and impact of</w:t>
      </w:r>
      <w:r>
        <w:t xml:space="preserve"> </w:t>
      </w:r>
      <w:r>
        <w:rPr>
          <w:iCs/>
          <w:i/>
        </w:rPr>
        <w:t xml:space="preserve">Business Consultant</w:t>
      </w:r>
      <w:r>
        <w:t xml:space="preserve"> </w:t>
      </w:r>
      <w:r>
        <w:t xml:space="preserve">services across</w:t>
      </w:r>
      <w:r>
        <w:t xml:space="preserve"> </w:t>
      </w:r>
      <w:r>
        <w:rPr>
          <w:iCs/>
          <w:i/>
        </w:rPr>
        <w:t xml:space="preserve">Malaysia Kuala Lumpur</w:t>
      </w:r>
      <w:r>
        <w:t xml:space="preserve">, directly contributing to the nation’s vision of a high-income economy driven by agile, globally competitive enterprises.</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Business Consultants in Malaysia Kuala Lumpur</dc:title>
  <dc:creator/>
  <dc:language>en</dc:language>
  <cp:keywords/>
  <dcterms:created xsi:type="dcterms:W3CDTF">2026-07-21T14:54:57Z</dcterms:created>
  <dcterms:modified xsi:type="dcterms:W3CDTF">2026-07-21T14:54:57Z</dcterms:modified>
</cp:coreProperties>
</file>

<file path=docProps/custom.xml><?xml version="1.0" encoding="utf-8"?>
<Properties xmlns="http://schemas.openxmlformats.org/officeDocument/2006/custom-properties" xmlns:vt="http://schemas.openxmlformats.org/officeDocument/2006/docPropsVTypes"/>
</file>