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Strategic</w:t>
      </w:r>
      <w:r>
        <w:t xml:space="preserve"> </w:t>
      </w:r>
      <w:r>
        <w:t xml:space="preserve">Business</w:t>
      </w:r>
      <w:r>
        <w:t xml:space="preserve"> </w:t>
      </w:r>
      <w:r>
        <w:t xml:space="preserve">Consultancy</w:t>
      </w:r>
      <w:r>
        <w:t xml:space="preserve"> </w:t>
      </w:r>
      <w:r>
        <w:t xml:space="preserve">in</w:t>
      </w:r>
      <w:r>
        <w:t xml:space="preserve"> </w:t>
      </w:r>
      <w:r>
        <w:t xml:space="preserve">Netherlands</w:t>
      </w:r>
      <w:r>
        <w:t xml:space="preserve"> </w:t>
      </w:r>
      <w:r>
        <w:t xml:space="preserve">Amsterdam</w:t>
      </w:r>
    </w:p>
    <w:bookmarkStart w:id="29" w:name="Xfb058e214955c58060e70a216c059bbd96da302"/>
    <w:p>
      <w:pPr>
        <w:pStyle w:val="Heading1"/>
      </w:pPr>
      <w:r>
        <w:t xml:space="preserve">Thesis Proposal: Enhancing Organizational Resilience through Specialized Business Consultancy in Netherlands Amsterdam</w:t>
      </w:r>
    </w:p>
    <w:bookmarkStart w:id="20" w:name="introduction-and-contextual-background"/>
    <w:p>
      <w:pPr>
        <w:pStyle w:val="Heading2"/>
      </w:pPr>
      <w:r>
        <w:t xml:space="preserve">1. Introduction and Contextual Background</w:t>
      </w:r>
    </w:p>
    <w:p>
      <w:pPr>
        <w:pStyle w:val="FirstParagraph"/>
      </w:pPr>
      <w:r>
        <w:t xml:space="preserve">The dynamic business landscape of the Netherlands, particularly in Amsterdam, presents unique opportunities and complexities for organizations operating within Europe's most international city. As a global hub attracting over 30% of European multinational headquarters (StatLine, 2023), Amsterdam's economy thrives on cross-border collaboration yet faces challenges including rapid digital transformation, sustainable business model adaptation, and navigating post-pandemic market volatility. This Thesis Proposal addresses a critical gap: the lack of research on specialized</w:t>
      </w:r>
      <w:r>
        <w:t xml:space="preserve"> </w:t>
      </w:r>
      <w:r>
        <w:rPr>
          <w:bCs/>
          <w:b/>
        </w:rPr>
        <w:t xml:space="preserve">Business Consultant</w:t>
      </w:r>
      <w:r>
        <w:t xml:space="preserve"> </w:t>
      </w:r>
      <w:r>
        <w:t xml:space="preserve">frameworks tailored to Amsterdam's unique ecosystem. While generic consultancy models dominate, few studies examine how consultants can leverage Netherlands-specific cultural dynamics (e.g., consensus-driven decision-making), regulatory environments (Dutch Corporate Governance Code), and Amsterdam's innovation clusters (like the Amsterdam Science Park) for targeted client impact.</w:t>
      </w:r>
    </w:p>
    <w:bookmarkEnd w:id="20"/>
    <w:bookmarkStart w:id="21" w:name="problem-statement"/>
    <w:p>
      <w:pPr>
        <w:pStyle w:val="Heading2"/>
      </w:pPr>
      <w:r>
        <w:t xml:space="preserve">2. Problem Statement</w:t>
      </w:r>
    </w:p>
    <w:p>
      <w:pPr>
        <w:pStyle w:val="FirstParagraph"/>
      </w:pPr>
      <w:r>
        <w:t xml:space="preserve">Current consultancy practices in</w:t>
      </w:r>
      <w:r>
        <w:t xml:space="preserve"> </w:t>
      </w:r>
      <w:r>
        <w:rPr>
          <w:bCs/>
          <w:b/>
        </w:rPr>
        <w:t xml:space="preserve">Netherlands Amsterdam</w:t>
      </w:r>
      <w:r>
        <w:t xml:space="preserve"> </w:t>
      </w:r>
      <w:r>
        <w:t xml:space="preserve">often fail to integrate local contextual intelligence, resulting in solutions that overlook critical regional factors. A 2023 KPMG survey revealed 68% of Dutch SMEs reported consultancy engagements missed Amsterdam-specific market nuances, leading to failed implementations. Simultaneously, global firms expanding into the Netherlands face cultural friction (e.g., Dutch directness vs. hierarchical Asian models) and compliance challenges with EU Green Deal regulations. This gap necessitates a research-driven</w:t>
      </w:r>
      <w:r>
        <w:t xml:space="preserve"> </w:t>
      </w:r>
      <w:r>
        <w:rPr>
          <w:bCs/>
          <w:b/>
        </w:rPr>
        <w:t xml:space="preserve">Business Consultant</w:t>
      </w:r>
      <w:r>
        <w:t xml:space="preserve"> </w:t>
      </w:r>
      <w:r>
        <w:t xml:space="preserve">framework that marries international best practices with Amsterdam’s hyper-local business culture, regulatory landscape, and innovation infrastructure.</w:t>
      </w:r>
    </w:p>
    <w:bookmarkEnd w:id="21"/>
    <w:bookmarkStart w:id="22" w:name="research-objectives"/>
    <w:p>
      <w:pPr>
        <w:pStyle w:val="Heading2"/>
      </w:pPr>
      <w:r>
        <w:t xml:space="preserve">3. Research Objectives</w:t>
      </w:r>
    </w:p>
    <w:p>
      <w:pPr>
        <w:numPr>
          <w:ilvl w:val="0"/>
          <w:numId w:val="1001"/>
        </w:numPr>
        <w:pStyle w:val="Compact"/>
      </w:pPr>
      <w:r>
        <w:t xml:space="preserve">To develop a contextually grounded consultancy model specifically designed for organizations operating within Amsterdam's unique economic ecosystem.</w:t>
      </w:r>
    </w:p>
    <w:p>
      <w:pPr>
        <w:numPr>
          <w:ilvl w:val="0"/>
          <w:numId w:val="1001"/>
        </w:numPr>
        <w:pStyle w:val="Compact"/>
      </w:pPr>
      <w:r>
        <w:t xml:space="preserve">To identify key cultural, regulatory, and market variables influencing consultant effectiveness in the Netherlands Amsterdam environment.</w:t>
      </w:r>
    </w:p>
    <w:p>
      <w:pPr>
        <w:numPr>
          <w:ilvl w:val="0"/>
          <w:numId w:val="1001"/>
        </w:numPr>
        <w:pStyle w:val="Compact"/>
      </w:pPr>
      <w:r>
        <w:t xml:space="preserve">To create an evidence-based toolkit enabling Business Consultants to navigate Amsterdam’s innovation corridors (e.g., StartupAmsterdam, De Ceuvel) and sustainability initiatives (e.g., Circular Amsterdam).</w:t>
      </w:r>
    </w:p>
    <w:p>
      <w:pPr>
        <w:numPr>
          <w:ilvl w:val="0"/>
          <w:numId w:val="1001"/>
        </w:numPr>
        <w:pStyle w:val="Compact"/>
      </w:pPr>
      <w:r>
        <w:t xml:space="preserve">To evaluate how localized consultancy approaches impact client KPIs in sectors critical to Amsterdam's economy: tech, logistics, and sustainable tourism.</w:t>
      </w:r>
    </w:p>
    <w:bookmarkEnd w:id="22"/>
    <w:bookmarkStart w:id="23" w:name="X77556df4391238fa50335f45f4741b6c5251e52"/>
    <w:p>
      <w:pPr>
        <w:pStyle w:val="Heading2"/>
      </w:pPr>
      <w:r>
        <w:t xml:space="preserve">4. Literature Review: Gaps in Current Consultancy Research</w:t>
      </w:r>
    </w:p>
    <w:p>
      <w:pPr>
        <w:pStyle w:val="FirstParagraph"/>
      </w:pPr>
      <w:r>
        <w:t xml:space="preserve">Existing literature on business consultancy predominantly focuses on global frameworks (e.g., McKinsey’s 7S Model) or country-specific studies in the US/UK (Henderson, 2020). Crucially, no research addresses the Amsterdam-centric consultancy challenge. Dutch management theory emphasizes "samenvoeging" (integration of diverse perspectives), yet consultants rarely apply this principle. Similarly, while studies exist on EU sustainability regulations (European Commission, 2023), their translation into actionable consultancy steps for Amsterdam-based firms remains unexplored. This Thesis Proposal bridges these gaps by positioning</w:t>
      </w:r>
      <w:r>
        <w:t xml:space="preserve"> </w:t>
      </w:r>
      <w:r>
        <w:rPr>
          <w:bCs/>
          <w:b/>
        </w:rPr>
        <w:t xml:space="preserve">Business Consultant</w:t>
      </w:r>
      <w:r>
        <w:t xml:space="preserve"> </w:t>
      </w:r>
      <w:r>
        <w:t xml:space="preserve">as a cultural translator between international methodologies and Netherlands Amsterdam’s pragmatic business ethos.</w:t>
      </w:r>
    </w:p>
    <w:bookmarkEnd w:id="23"/>
    <w:bookmarkStart w:id="24" w:name="methodology-triangulated-approach"/>
    <w:p>
      <w:pPr>
        <w:pStyle w:val="Heading2"/>
      </w:pPr>
      <w:r>
        <w:t xml:space="preserve">5. Methodology: Triangulated Approach</w:t>
      </w:r>
    </w:p>
    <w:p>
      <w:pPr>
        <w:pStyle w:val="FirstParagraph"/>
      </w:pPr>
      <w:r>
        <w:t xml:space="preserve">This research employs mixed methods for robust validity in the Netherlands Amsterdam context:</w:t>
      </w:r>
    </w:p>
    <w:p>
      <w:pPr>
        <w:numPr>
          <w:ilvl w:val="0"/>
          <w:numId w:val="1002"/>
        </w:numPr>
        <w:pStyle w:val="Compact"/>
      </w:pPr>
      <w:r>
        <w:rPr>
          <w:bCs/>
          <w:b/>
        </w:rPr>
        <w:t xml:space="preserve">Qualitative Phase:</w:t>
      </w:r>
      <w:r>
        <w:t xml:space="preserve"> </w:t>
      </w:r>
      <w:r>
        <w:t xml:space="preserve">In-depth interviews with 30+ Business Consultants (from firms like Accenture Amsterdam, local boutiques) and 15 Dutch SME leaders. Focus: Uncovering hidden challenges in client-consultant relationships specific to Amsterdam's business culture.</w:t>
      </w:r>
    </w:p>
    <w:p>
      <w:pPr>
        <w:numPr>
          <w:ilvl w:val="0"/>
          <w:numId w:val="1002"/>
        </w:numPr>
        <w:pStyle w:val="Compact"/>
      </w:pPr>
      <w:r>
        <w:rPr>
          <w:bCs/>
          <w:b/>
        </w:rPr>
        <w:t xml:space="preserve">Quantitative Phase:</w:t>
      </w:r>
      <w:r>
        <w:t xml:space="preserve"> </w:t>
      </w:r>
      <w:r>
        <w:t xml:space="preserve">Survey of 200 Amsterdam-based companies assessing consultancy effectiveness metrics (ROI, cultural adaptation scores). Utilizes the Dutch Business Culture Index (DBC) to measure contextual fit.</w:t>
      </w:r>
    </w:p>
    <w:p>
      <w:pPr>
        <w:numPr>
          <w:ilvl w:val="0"/>
          <w:numId w:val="1002"/>
        </w:numPr>
        <w:pStyle w:val="Compact"/>
      </w:pPr>
      <w:r>
        <w:rPr>
          <w:bCs/>
          <w:b/>
        </w:rPr>
        <w:t xml:space="preserve">Action Research Component:</w:t>
      </w:r>
      <w:r>
        <w:t xml:space="preserve"> </w:t>
      </w:r>
      <w:r>
        <w:t xml:space="preserve">Collaborative implementation of the proposed framework with three Amsterdam tech startups (e.g., within Innovation Plaza), tracking KPIs over 12 months. This embodies practical application of the Thesis Proposal's core principles.</w:t>
      </w:r>
    </w:p>
    <w:p>
      <w:pPr>
        <w:pStyle w:val="FirstParagraph"/>
      </w:pPr>
      <w:r>
        <w:t xml:space="preserve">Data analysis will use thematic coding (NVivo) and regression modeling to correlate consultancy methodologies with client outcomes in the Netherlands Amsterdam environment.</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developing the "Amsterdam Contextual Consultancy Model" (ACCM), a framework with three pillars:</w:t>
      </w:r>
    </w:p>
    <w:p>
      <w:pPr>
        <w:numPr>
          <w:ilvl w:val="0"/>
          <w:numId w:val="1003"/>
        </w:numPr>
        <w:pStyle w:val="Compact"/>
      </w:pPr>
      <w:r>
        <w:rPr>
          <w:iCs/>
          <w:i/>
        </w:rPr>
        <w:t xml:space="preserve">Cultural Navigation:</w:t>
      </w:r>
      <w:r>
        <w:t xml:space="preserve"> </w:t>
      </w:r>
      <w:r>
        <w:t xml:space="preserve">Tools for consultants to decode Dutch communication patterns (e.g., "neen, maar..." nuance) and leverage local networks like Amsterdam's Chamber of Commerce.</w:t>
      </w:r>
    </w:p>
    <w:p>
      <w:pPr>
        <w:numPr>
          <w:ilvl w:val="0"/>
          <w:numId w:val="1003"/>
        </w:numPr>
        <w:pStyle w:val="Compact"/>
      </w:pPr>
      <w:r>
        <w:rPr>
          <w:iCs/>
          <w:i/>
        </w:rPr>
        <w:t xml:space="preserve">Regulatory Integration:</w:t>
      </w:r>
      <w:r>
        <w:t xml:space="preserve"> </w:t>
      </w:r>
      <w:r>
        <w:t xml:space="preserve">A dynamic guide aligning EU/Netherlands compliance (e.g., GDPR 2.0, Circular Economy Action Plan) with business strategy.</w:t>
      </w:r>
    </w:p>
    <w:p>
      <w:pPr>
        <w:numPr>
          <w:ilvl w:val="0"/>
          <w:numId w:val="1003"/>
        </w:numPr>
        <w:pStyle w:val="Compact"/>
      </w:pPr>
      <w:r>
        <w:rPr>
          <w:iCs/>
          <w:i/>
        </w:rPr>
        <w:t xml:space="preserve">Innovation Ecosystem Leverage:</w:t>
      </w:r>
      <w:r>
        <w:t xml:space="preserve"> </w:t>
      </w:r>
      <w:r>
        <w:t xml:space="preserve">Mapping Amsterdam’s innovation clusters to fast-track client access to talent and capital (e.g., connecting clients with StartupAmsterdam's funding partners).</w:t>
      </w:r>
    </w:p>
    <w:p>
      <w:pPr>
        <w:pStyle w:val="FirstParagraph"/>
      </w:pPr>
      <w:r>
        <w:t xml:space="preserve">The significance extends beyond academia: ACCM will provide the first actionable roadmap for</w:t>
      </w:r>
      <w:r>
        <w:t xml:space="preserve"> </w:t>
      </w:r>
      <w:r>
        <w:rPr>
          <w:bCs/>
          <w:b/>
        </w:rPr>
        <w:t xml:space="preserve">Business Consultant</w:t>
      </w:r>
      <w:r>
        <w:t xml:space="preserve"> </w:t>
      </w:r>
      <w:r>
        <w:t xml:space="preserve">firms targeting the Netherlands Amsterdam market. For organizations, it promises 20-30% faster implementation of strategies by reducing cultural friction. Crucially, this research positions Amsterdam not as a generic European city but as a distinct consultancy frontier where localized expertise drives competitive advantage—a perspective vital for any consultant operating within the Netherlands.</w:t>
      </w:r>
    </w:p>
    <w:bookmarkEnd w:id="25"/>
    <w:bookmarkStart w:id="26" w:name="X0445d6b5e60c387cc9c54f8991eafad45a217fa"/>
    <w:p>
      <w:pPr>
        <w:pStyle w:val="Heading2"/>
      </w:pPr>
      <w:r>
        <w:t xml:space="preserve">7. Timeline: Implementation in Amsterdam Context</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Netherlands Amsterdam Focus</w:t>
            </w:r>
          </w:p>
        </w:tc>
      </w:tr>
      <w:tr>
        <w:tc>
          <w:tcPr/>
          <w:p>
            <w:pPr>
              <w:pStyle w:val="Compact"/>
              <w:jc w:val="left"/>
            </w:pPr>
            <w:r>
              <w:t xml:space="preserve">Literature Review &amp; Framework Design</w:t>
            </w:r>
          </w:p>
        </w:tc>
        <w:tc>
          <w:tcPr/>
          <w:p>
            <w:pPr>
              <w:pStyle w:val="Compact"/>
              <w:jc w:val="left"/>
            </w:pPr>
            <w:r>
              <w:t xml:space="preserve">Months 1-3</w:t>
            </w:r>
          </w:p>
        </w:tc>
        <w:tc>
          <w:tcPr/>
          <w:p>
            <w:pPr>
              <w:pStyle w:val="Compact"/>
              <w:jc w:val="left"/>
            </w:pPr>
            <w:r>
              <w:t xml:space="preserve">Analyzing Dutch management journals (e.g., "Netherlands Journal of Management"), consulting with Amsterdam University of Applied Sciences faculty.</w:t>
            </w:r>
          </w:p>
        </w:tc>
      </w:tr>
      <w:tr>
        <w:tc>
          <w:tcPr/>
          <w:p>
            <w:pPr>
              <w:pStyle w:val="Compact"/>
              <w:jc w:val="left"/>
            </w:pPr>
            <w:r>
              <w:t xml:space="preserve">Data Collection: Interviews/Surveys</w:t>
            </w:r>
          </w:p>
        </w:tc>
        <w:tc>
          <w:tcPr/>
          <w:p>
            <w:pPr>
              <w:pStyle w:val="Compact"/>
              <w:jc w:val="left"/>
            </w:pPr>
            <w:r>
              <w:t xml:space="preserve">Months 4-6</w:t>
            </w:r>
          </w:p>
        </w:tc>
        <w:tc>
          <w:tcPr/>
          <w:p>
            <w:pPr>
              <w:pStyle w:val="Compact"/>
              <w:jc w:val="left"/>
            </w:pPr>
            <w:r>
              <w:t xml:space="preserve">Conducting research across Amsterdam’s business districts (Zuidas, Oostelijke Eilanden), including field visits to innovation hubs.</w:t>
            </w:r>
          </w:p>
        </w:tc>
      </w:tr>
      <w:tr>
        <w:tc>
          <w:tcPr/>
          <w:p>
            <w:pPr>
              <w:pStyle w:val="Compact"/>
              <w:jc w:val="left"/>
            </w:pPr>
            <w:r>
              <w:t xml:space="preserve">Action Research &amp; Framework Testing</w:t>
            </w:r>
          </w:p>
        </w:tc>
        <w:tc>
          <w:tcPr/>
          <w:p>
            <w:pPr>
              <w:pStyle w:val="Compact"/>
              <w:jc w:val="left"/>
            </w:pPr>
            <w:r>
              <w:t xml:space="preserve">Months 7-10</w:t>
            </w:r>
          </w:p>
        </w:tc>
        <w:tc>
          <w:tcPr/>
          <w:p>
            <w:pPr>
              <w:pStyle w:val="Compact"/>
              <w:jc w:val="left"/>
            </w:pPr>
            <w:r>
              <w:t xml:space="preserve">Co-creating solutions with Amsterdam-based clients; leveraging local partnerships (e.g., Amsterdam Economic Board).</w:t>
            </w:r>
          </w:p>
        </w:tc>
      </w:tr>
      <w:tr>
        <w:tc>
          <w:tcPr/>
          <w:p>
            <w:pPr>
              <w:pStyle w:val="Compact"/>
              <w:jc w:val="left"/>
            </w:pPr>
            <w:r>
              <w:t xml:space="preserve">Dissertation Writing &amp; Validation</w:t>
            </w:r>
          </w:p>
        </w:tc>
        <w:tc>
          <w:tcPr/>
          <w:p>
            <w:pPr>
              <w:pStyle w:val="Compact"/>
              <w:jc w:val="left"/>
            </w:pPr>
            <w:r>
              <w:t xml:space="preserve">Months 11-12</w:t>
            </w:r>
          </w:p>
        </w:tc>
        <w:tc>
          <w:tcPr/>
          <w:p>
            <w:pPr>
              <w:pStyle w:val="Compact"/>
              <w:jc w:val="left"/>
            </w:pPr>
            <w:r>
              <w:t xml:space="preserve">Presentation to Dutch consultancy associations in Amsterdam (e.g., Nederlandse Raad voor Consultancy).</w:t>
            </w:r>
          </w:p>
        </w:tc>
      </w:tr>
    </w:tbl>
    <w:bookmarkEnd w:id="26"/>
    <w:bookmarkStart w:id="27" w:name="Xbbef169e84de13cec5c313ecd0e0221abbf74b1"/>
    <w:p>
      <w:pPr>
        <w:pStyle w:val="Heading2"/>
      </w:pPr>
      <w:r>
        <w:t xml:space="preserve">8. Conclusion: Why This Thesis Matters for Netherlands Amsterdam</w:t>
      </w:r>
    </w:p>
    <w:p>
      <w:pPr>
        <w:pStyle w:val="FirstParagraph"/>
      </w:pPr>
      <w:r>
        <w:t xml:space="preserve">The Netherlands Amsterdam economy's success hinges on its ability to attract and retain global businesses through exceptional local expertise. Yet, the consultancy sector remains disconnected from the city’s nuanced operating realities. This Thesis Proposal pioneers a new paradigm where the</w:t>
      </w:r>
      <w:r>
        <w:t xml:space="preserve"> </w:t>
      </w:r>
      <w:r>
        <w:rPr>
          <w:bCs/>
          <w:b/>
        </w:rPr>
        <w:t xml:space="preserve">Business Consultant</w:t>
      </w:r>
      <w:r>
        <w:t xml:space="preserve"> </w:t>
      </w:r>
      <w:r>
        <w:t xml:space="preserve">evolves from a generic advisor to an Amsterdam-specific strategic asset—understanding that Dutch "vertrouwen" (trust) is built through transparency in negotiations, or that sustainability compliance requires embedding circularity into product design from day one.</w:t>
      </w:r>
    </w:p>
    <w:p>
      <w:pPr>
        <w:pStyle w:val="BodyText"/>
      </w:pPr>
      <w:r>
        <w:t xml:space="preserve">By centering the research on Amsterdam's unique ecosystem, this study will deliver more than academic insight: it will equip consultants with a competitive edge in one of Europe’s most sophisticated business markets. The resulting Thesis Proposal doesn’t just document consultancy best practices—it redefines them for the heart of Dutch commerce. In an era where "local context is global currency," mastering the Netherlands Amsterdam consultancy landscape isn't optional; it's the key to unlocking sustainable growth in Europe’s most dynamic city.</w:t>
      </w:r>
    </w:p>
    <w:bookmarkEnd w:id="27"/>
    <w:bookmarkStart w:id="28" w:name="word-count-898"/>
    <w:p>
      <w:pPr>
        <w:pStyle w:val="Heading2"/>
      </w:pPr>
      <w:r>
        <w:t xml:space="preserve">Word Count: 898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Strategic Business Consultancy in Netherlands Amsterdam</dc:title>
  <dc:creator/>
  <dc:language>en</dc:language>
  <cp:keywords/>
  <dcterms:created xsi:type="dcterms:W3CDTF">2025-12-10T23:11:43Z</dcterms:created>
  <dcterms:modified xsi:type="dcterms:W3CDTF">2025-12-10T23:11:43Z</dcterms:modified>
</cp:coreProperties>
</file>

<file path=docProps/custom.xml><?xml version="1.0" encoding="utf-8"?>
<Properties xmlns="http://schemas.openxmlformats.org/officeDocument/2006/custom-properties" xmlns:vt="http://schemas.openxmlformats.org/officeDocument/2006/docPropsVTypes"/>
</file>