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Framework</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614f7b439cfc8ecbc65d9a5cafc366c56daf7f0"/>
    <w:p>
      <w:pPr>
        <w:pStyle w:val="Heading1"/>
      </w:pPr>
      <w:r>
        <w:t xml:space="preserve">Thesis Proposal: Developing a Specialized Business Consultant Framework for Economic Diversification in United Arab Emirates Abu Dhabi</w:t>
      </w:r>
    </w:p>
    <w:bookmarkStart w:id="20" w:name="introduction"/>
    <w:p>
      <w:pPr>
        <w:pStyle w:val="Heading2"/>
      </w:pPr>
      <w:r>
        <w:t xml:space="preserve">1. Introduction</w:t>
      </w:r>
    </w:p>
    <w:p>
      <w:pPr>
        <w:pStyle w:val="FirstParagraph"/>
      </w:pPr>
      <w:r>
        <w:t xml:space="preserve">The strategic importance of effective business consulting within the United Arab Emirates Abu Dhabi context cannot be overstated, particularly as the emirate accelerates its vision for post-oil economic sustainability under initiatives like Abu Dhabi Vision 2030. As a global hub for investment and innovation, Abu Dhabi faces unique challenges in transitioning from oil-dependent revenue streams to knowledge-based industries while maintaining its competitive edge in international markets. This Thesis Proposal addresses the critical gap between conventional consulting methodologies and the nuanced requirements of Abu Dhabi's dynamic business ecosystem. A specialized Business Consultant operating within United Arab Emirates Abu Dhabi must navigate complex regulatory frameworks, cultural dynamics, and sector-specific opportunities—making this research essential for both academic contribution and practical implementation.</w:t>
      </w:r>
    </w:p>
    <w:bookmarkEnd w:id="20"/>
    <w:bookmarkStart w:id="21" w:name="problem-statement"/>
    <w:p>
      <w:pPr>
        <w:pStyle w:val="Heading2"/>
      </w:pPr>
      <w:r>
        <w:t xml:space="preserve">2. Problem Statement</w:t>
      </w:r>
    </w:p>
    <w:p>
      <w:pPr>
        <w:pStyle w:val="FirstParagraph"/>
      </w:pPr>
      <w:r>
        <w:t xml:space="preserve">Current business consulting practices in the United Arab Emirates Abu Dhabi often lack contextual adaptation to local economic priorities. Many international consulting firms apply standardized models that fail to integrate Abu Dhabi's Emiratisation goals, sovereign wealth investment strategies (e.g., Mubadala Development Company), and the emirate’s emphasis on sustainable development. Consequently, businesses—particularly SMEs and state-linked enterprises—experience suboptimal outcomes from generic consultancy services. This disconnect impedes Abu Dhabi’s economic diversification targets, as highlighted in the Abu Dhabi Economic Vision 2030 report which identifies "strategic business advisory gaps" as a top constraint to private sector growth. Without tailored frameworks, the United Arab Emirates' ambition to become a global leader in sectors like renewable energy, fintech, and healthcare remains partially unfulfilled.</w:t>
      </w:r>
    </w:p>
    <w:bookmarkEnd w:id="21"/>
    <w:bookmarkStart w:id="22" w:name="research-objectives"/>
    <w:p>
      <w:pPr>
        <w:pStyle w:val="Heading2"/>
      </w:pPr>
      <w:r>
        <w:t xml:space="preserve">3. Research Objectives</w:t>
      </w:r>
    </w:p>
    <w:p>
      <w:pPr>
        <w:pStyle w:val="FirstParagraph"/>
      </w:pPr>
      <w:r>
        <w:t xml:space="preserve">This Thesis Proposal aims to develop a culturally intelligent Business Consultant framework specifically calibrated for United Arab Emirates Abu Dhabi. Primary objectives include: (1) Mapping the unique operational challenges faced by local enterprises in sectors prioritized by Abu Dhabi's economic strategy; (2) Analyzing the effectiveness of existing consulting services through stakeholder interviews with government entities (e.g., Department of Economic Development Abu Dhabi), corporate leaders, and international firms; (3) Designing a localized consultant competency model incorporating Emirati business ethics, Arabic language proficiency, and knowledge of Abu Dhabi's regulatory sandbox environments; and (4) Proposing a scalable implementation roadmap for consultancy firms seeking to serve the Abu Dhabi market. This work directly responds to the UAE Ministry of Economy’s 2023 call for "contextualized advisory services" that align with national strategic pillars.</w:t>
      </w:r>
    </w:p>
    <w:bookmarkEnd w:id="22"/>
    <w:bookmarkStart w:id="23" w:name="literature-review"/>
    <w:p>
      <w:pPr>
        <w:pStyle w:val="Heading2"/>
      </w:pPr>
      <w:r>
        <w:t xml:space="preserve">4. Literature Review</w:t>
      </w:r>
    </w:p>
    <w:p>
      <w:pPr>
        <w:pStyle w:val="FirstParagraph"/>
      </w:pPr>
      <w:r>
        <w:t xml:space="preserve">While global literature on business consulting is extensive, scholarly research focusing on Middle Eastern contexts remains limited, and studies specific to Abu Dhabi are virtually nonexistent. Existing works (e.g., Al-Muhairi &amp; Al-Abri, 2021) emphasize cross-cultural communication in GCC consulting but neglect Abu Dhabi’s distinct institutional landscape. Conversely, UAE government reports (e.g., "Abu Dhabi Economic Vision 2030") provide strategic direction without operational consultant guidelines. This research bridges this gap by synthesizing insights from: (a) Abu Dhabi’s National Strategy for Innovation; (b) Comparative analyses of Dubai’s more mature consultancy market; and (c) Global best practices in emerging-market advisory services. Crucially, it introduces "Abu Dhabi Contextual Intelligence" as a novel theoretical construct—measuring how consultants integrate local cultural capital into strategic recommendations.</w:t>
      </w:r>
    </w:p>
    <w:bookmarkEnd w:id="23"/>
    <w:bookmarkStart w:id="24" w:name="methodology"/>
    <w:p>
      <w:pPr>
        <w:pStyle w:val="Heading2"/>
      </w:pPr>
      <w:r>
        <w:t xml:space="preserve">5. Methodology</w:t>
      </w:r>
    </w:p>
    <w:p>
      <w:pPr>
        <w:pStyle w:val="FirstParagraph"/>
      </w:pPr>
      <w:r>
        <w:t xml:space="preserve">A mixed-methods approach will be employed over 18 months. Phase 1 involves qualitative analysis of 30+ policy documents from Abu Dhabi Executive Council and Abu Dhabi Investment Office to identify regulatory and sectoral priorities. Phase 2 includes semi-structured interviews with 40 stakeholders: government officials (25%), corporate CEOs (35%), Business Consultant practitioners (20%), and SME owners (20%) across energy, tourism, fintech, and healthcare sectors. Phase 3 utilizes a case study of three Abu Dhabi-based companies that implemented consulting projects to validate framework efficacy through pre/post-implementation KPI comparisons. Quantitative data will be triangulated using surveys assessing consultant performance against proposed competency metrics. All research adheres to UAE ethical standards and receives approval from the Khalifa University Research Ethics Committee.</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 First, a validated Business Consultant competency framework with specific Abu Dhabi adaptation protocols—addressing the urgent need for locally attuned advisors as outlined in the UAE’s 2031 Economic Agenda. Second, actionable insights for international consulting firms seeking entry into United Arab Emirates Abu Dhabi markets, including compliance guidelines for navigating Abu Dhabi’s unique licensing ecosystem (e.g., Department of Economic Development requirements). Third, academic advancement through the "Abu Dhabi Contextual Intelligence" model, which will be published in journals like the</w:t>
      </w:r>
      <w:r>
        <w:t xml:space="preserve"> </w:t>
      </w:r>
      <w:r>
        <w:rPr>
          <w:iCs/>
          <w:i/>
        </w:rPr>
        <w:t xml:space="preserve">Journal of Arabian Business</w:t>
      </w:r>
      <w:r>
        <w:t xml:space="preserve">. Practically, this framework is expected to improve project success rates for consultancy engagements by 30-40% in Abu Dhabi-based enterprises—directly supporting national diversification targets.</w:t>
      </w:r>
    </w:p>
    <w:bookmarkEnd w:id="25"/>
    <w:bookmarkStart w:id="26" w:name="timeline-implementation-plan"/>
    <w:p>
      <w:pPr>
        <w:pStyle w:val="Heading2"/>
      </w:pPr>
      <w:r>
        <w:t xml:space="preserve">7. Timeline &amp; Implementation Plan</w:t>
      </w:r>
    </w:p>
    <w:p>
      <w:pPr>
        <w:pStyle w:val="FirstParagraph"/>
      </w:pPr>
      <w:r>
        <w:t xml:space="preserve">The research will be executed within a 16-month window: Months 1-3 (Literature synthesis and policy mapping), Months 4-7 (Stakeholder interviews and data collection), Months 8-12 (Framework development and case study analysis), Months 13-15 (Validation with Abu Dhabi Economic Development Board pilot workshops), Month 16 (Thesis finalization). A dedicated implementation pathway will be embedded: The proposed framework will be co-developed with Abu Dhabi-based consultancy firms like EY Middle East and local entities including the Abu Dhabi Chamber of Commerce &amp; Industry, ensuring immediate industry applicability upon completion.</w:t>
      </w:r>
    </w:p>
    <w:bookmarkEnd w:id="26"/>
    <w:bookmarkStart w:id="27" w:name="conclusion"/>
    <w:p>
      <w:pPr>
        <w:pStyle w:val="Heading2"/>
      </w:pPr>
      <w:r>
        <w:t xml:space="preserve">8. Conclusion</w:t>
      </w:r>
    </w:p>
    <w:p>
      <w:pPr>
        <w:pStyle w:val="FirstParagraph"/>
      </w:pPr>
      <w:r>
        <w:t xml:space="preserve">As the United Arab Emirates Abu Dhabi accelerates its transformation into a global innovation capital, the need for a specialized Business Consultant paradigm is no longer optional—it is foundational to sustainable economic growth. This Thesis Proposal pioneers a necessary shift from generic advisory services to contextually anchored strategic support, directly addressing Abu Dhabi’s unique convergence of heritage, ambition, and modernization. By embedding cultural intelligence within the consultant’s operational DNA and aligning recommendations with Abu Dhabi Vision 2030 priorities, this research promises to deliver tangible value for enterprises navigating the emirate's evolving landscape. The resulting framework will not only elevate consultancy standards in United Arab Emirates Abu Dhabi but also position Abu Dhabi as a model for strategic business advisory in emerging economies worldwide. This Thesis Proposal thus represents a critical step toward realizing the UAE’s vision of economic resilience through locally empowered expertise.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Framework for Sustainable Growth in United Arab Emirates Abu Dhabi</dc:title>
  <dc:creator/>
  <dc:language>en</dc:language>
  <cp:keywords/>
  <dcterms:created xsi:type="dcterms:W3CDTF">2026-07-24T03:57:39Z</dcterms:created>
  <dcterms:modified xsi:type="dcterms:W3CDTF">2026-07-24T03:57:39Z</dcterms:modified>
</cp:coreProperties>
</file>

<file path=docProps/custom.xml><?xml version="1.0" encoding="utf-8"?>
<Properties xmlns="http://schemas.openxmlformats.org/officeDocument/2006/custom-properties" xmlns:vt="http://schemas.openxmlformats.org/officeDocument/2006/docPropsVTypes"/>
</file>