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Argentina</w:t>
      </w:r>
      <w:r>
        <w:t xml:space="preserve"> </w:t>
      </w:r>
      <w:r>
        <w:t xml:space="preserve">Córdoba</w:t>
      </w:r>
    </w:p>
    <w:bookmarkStart w:id="30" w:name="Xd25221b6899950daa0526792f3934559e6ed9b5"/>
    <w:p>
      <w:pPr>
        <w:pStyle w:val="Heading1"/>
      </w:pPr>
      <w:r>
        <w:t xml:space="preserve">Thesis Proposal: Preserving and Modernizing Traditional Carpenter Craftsmanship in Argentina Córdoba</w:t>
      </w:r>
    </w:p>
    <w:bookmarkStart w:id="20" w:name="introduction-and-background"/>
    <w:p>
      <w:pPr>
        <w:pStyle w:val="Heading2"/>
      </w:pPr>
      <w:r>
        <w:t xml:space="preserve">1. Introduction and Background</w:t>
      </w:r>
    </w:p>
    <w:p>
      <w:pPr>
        <w:pStyle w:val="FirstParagraph"/>
      </w:pPr>
      <w:r>
        <w:t xml:space="preserve">The role of the traditional carpenter remains a vital yet increasingly endangered element within Argentina's cultural and economic landscape, particularly in Córdoba Province. As a region renowned for its rich heritage of woodworking—evidenced by historic colonial architecture, artisanal furniture production, and indigenous craftsmanship—the province faces a critical juncture where centuries-old techniques risk obsolescence due to industrialization and shifting labor markets. This</w:t>
      </w:r>
      <w:r>
        <w:t xml:space="preserve"> </w:t>
      </w:r>
      <w:r>
        <w:rPr>
          <w:iCs/>
          <w:i/>
        </w:rPr>
        <w:t xml:space="preserve">Thesis Proposal</w:t>
      </w:r>
      <w:r>
        <w:t xml:space="preserve"> </w:t>
      </w:r>
      <w:r>
        <w:t xml:space="preserve">addresses the urgent need to document, analyze, and revitalize the profession of the carpenter in Argentina Córdoba through an interdisciplinary lens that merges cultural preservation with sustainable economic development.</w:t>
      </w:r>
    </w:p>
    <w:bookmarkEnd w:id="20"/>
    <w:bookmarkStart w:id="21" w:name="problem-statement"/>
    <w:p>
      <w:pPr>
        <w:pStyle w:val="Heading2"/>
      </w:pPr>
      <w:r>
        <w:t xml:space="preserve">2. Problem Statement</w:t>
      </w:r>
    </w:p>
    <w:p>
      <w:pPr>
        <w:pStyle w:val="FirstParagraph"/>
      </w:pPr>
      <w:r>
        <w:t xml:space="preserve">In Córdoba, where approximately 68% of rural communities historically relied on local woodcraft for housing and furniture, contemporary carpenters encounter multifaceted challenges: (a) declining apprenticeship systems due to urban migration; (b) competition from mass-produced imports; (c) insufficient government support for artisanal cooperatives; and (d) environmental pressures limiting sustainable timber access. Without intervention, the unique</w:t>
      </w:r>
      <w:r>
        <w:t xml:space="preserve"> </w:t>
      </w:r>
      <w:r>
        <w:rPr>
          <w:iCs/>
          <w:i/>
        </w:rPr>
        <w:t xml:space="preserve">Carpenter</w:t>
      </w:r>
      <w:r>
        <w:t xml:space="preserve"> </w:t>
      </w:r>
      <w:r>
        <w:t xml:space="preserve">identity embedded in Córdoba’s socio-cultural fabric—seen in landmarks like the</w:t>
      </w:r>
      <w:r>
        <w:t xml:space="preserve"> </w:t>
      </w:r>
      <w:r>
        <w:rPr>
          <w:iCs/>
          <w:i/>
        </w:rPr>
        <w:t xml:space="preserve">Museo del Cabildo</w:t>
      </w:r>
      <w:r>
        <w:t xml:space="preserve">’s wooden facades or San Alberto’s artisanal workshops—may erode irreversibly. This gap necessitates a systematic study to inform culturally sensitive preservation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current socio-economic status of carpenters across Córdoba’s urban and rural municipalities (including Villa María, Cruz del Eje, and Río Cuarto).</w:t>
      </w:r>
    </w:p>
    <w:p>
      <w:pPr>
        <w:numPr>
          <w:ilvl w:val="0"/>
          <w:numId w:val="1001"/>
        </w:numPr>
        <w:pStyle w:val="Compact"/>
      </w:pPr>
      <w:r>
        <w:t xml:space="preserve">To document endangered traditional techniques specific to Argentina Córdoba, such as hand-carved *aserradero* joinery and adobe-wood structural integration.</w:t>
      </w:r>
    </w:p>
    <w:p>
      <w:pPr>
        <w:numPr>
          <w:ilvl w:val="0"/>
          <w:numId w:val="1001"/>
        </w:numPr>
        <w:pStyle w:val="Compact"/>
      </w:pPr>
      <w:r>
        <w:t xml:space="preserve">To analyze market viability through comparative case studies of successful artisan cooperatives (e.g., *Carpintería Artesanal de La Cumbre*) versus industrial competitors.</w:t>
      </w:r>
    </w:p>
    <w:p>
      <w:pPr>
        <w:numPr>
          <w:ilvl w:val="0"/>
          <w:numId w:val="1001"/>
        </w:numPr>
        <w:pStyle w:val="Compact"/>
      </w:pPr>
      <w:r>
        <w:t xml:space="preserve">To co-create policy recommendations with stakeholders for integrating carpentry into Córdoba’s sustainable tourism and heritage initiatives.</w:t>
      </w:r>
    </w:p>
    <w:bookmarkEnd w:id="22"/>
    <w:bookmarkStart w:id="23" w:name="X817543b99bfb2fc018d8d641081835471eb9c41"/>
    <w:p>
      <w:pPr>
        <w:pStyle w:val="Heading2"/>
      </w:pPr>
      <w:r>
        <w:t xml:space="preserve">4. Literature Review: Gaps in Existing Scholarship</w:t>
      </w:r>
    </w:p>
    <w:p>
      <w:pPr>
        <w:pStyle w:val="FirstParagraph"/>
      </w:pPr>
      <w:r>
        <w:t xml:space="preserve">While Latin American studies (e.g., García Canclini, 1995) acknowledge artisanal decline, few focus specifically on carpentry in Argentina’s regional contexts. Most research centers on textile or pottery crafts (López, 2018), overlooking woodworking’s unique role in structural heritage. In Córdoba, academic attention has been fragmented: economic analyses (González &amp; Fernández, 2020) discuss craft economics but neglect technical knowledge transmission; cultural studies (Sánchez, 2019) celebrate *mestizo* woodwork aesthetics without addressing practical survival challenges. This thesis bridges these gaps by centering the</w:t>
      </w:r>
      <w:r>
        <w:t xml:space="preserve"> </w:t>
      </w:r>
      <w:r>
        <w:rPr>
          <w:iCs/>
          <w:i/>
        </w:rPr>
        <w:t xml:space="preserve">Carpenter</w:t>
      </w:r>
      <w:r>
        <w:t xml:space="preserve"> </w:t>
      </w:r>
      <w:r>
        <w:t xml:space="preserve">as both artisan and cultural custodian in Argentina Córdoba.</w:t>
      </w:r>
    </w:p>
    <w:bookmarkEnd w:id="23"/>
    <w:bookmarkStart w:id="24" w:name="methodology"/>
    <w:p>
      <w:pPr>
        <w:pStyle w:val="Heading2"/>
      </w:pPr>
      <w:r>
        <w:t xml:space="preserve">5. Methodology</w:t>
      </w:r>
    </w:p>
    <w:p>
      <w:pPr>
        <w:pStyle w:val="FirstParagraph"/>
      </w:pPr>
      <w:r>
        <w:t xml:space="preserve">This qualitative-quantitative mixed-methods study employs a three-phase approach:</w:t>
      </w:r>
    </w:p>
    <w:p>
      <w:pPr>
        <w:numPr>
          <w:ilvl w:val="0"/>
          <w:numId w:val="1002"/>
        </w:numPr>
        <w:pStyle w:val="Compact"/>
      </w:pPr>
      <w:r>
        <w:rPr>
          <w:bCs/>
          <w:b/>
        </w:rPr>
        <w:t xml:space="preserve">Phase 1 (3 months):</w:t>
      </w:r>
      <w:r>
        <w:t xml:space="preserve"> </w:t>
      </w:r>
      <w:r>
        <w:t xml:space="preserve">Field surveys across 15 municipalities using stratified sampling to assess carpenters’ income, training access, and market barriers. Primary data includes interviews with 40+ active artisans (including elders aged &gt;65) and municipal officials.</w:t>
      </w:r>
    </w:p>
    <w:p>
      <w:pPr>
        <w:numPr>
          <w:ilvl w:val="0"/>
          <w:numId w:val="1002"/>
        </w:numPr>
        <w:pStyle w:val="Compact"/>
      </w:pPr>
      <w:r>
        <w:rPr>
          <w:bCs/>
          <w:b/>
        </w:rPr>
        <w:t xml:space="preserve">Phase 2 (4 months):</w:t>
      </w:r>
      <w:r>
        <w:t xml:space="preserve"> </w:t>
      </w:r>
      <w:r>
        <w:t xml:space="preserve">Technical documentation via digital archives: filming of *cortar y encajar* (joinery) techniques, material sourcing maps for native woods (*quebracho*, *eucalipto*), and comparative analysis of pre-1980s versus modern workshop outputs.</w:t>
      </w:r>
    </w:p>
    <w:p>
      <w:pPr>
        <w:numPr>
          <w:ilvl w:val="0"/>
          <w:numId w:val="1002"/>
        </w:numPr>
        <w:pStyle w:val="Compact"/>
      </w:pPr>
      <w:r>
        <w:rPr>
          <w:bCs/>
          <w:b/>
        </w:rPr>
        <w:t xml:space="preserve">Phase 3 (5 months):</w:t>
      </w:r>
      <w:r>
        <w:t xml:space="preserve"> </w:t>
      </w:r>
      <w:r>
        <w:t xml:space="preserve">Collaborative workshops with Córdoba’s Ministry of Culture and the Chamber of Craftsmen to develop a prototype "Carpenter Revitalization Toolkit" featuring: (a) modular training curricula; (b) sustainable timber supply chains; and (c) digital marketing strategies targeting eco-tourism platforms like *Córdoba Turística*.</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directly contributes to Argentina Córdoba by:</w:t>
      </w:r>
    </w:p>
    <w:p>
      <w:pPr>
        <w:numPr>
          <w:ilvl w:val="0"/>
          <w:numId w:val="1003"/>
        </w:numPr>
        <w:pStyle w:val="Compact"/>
      </w:pPr>
      <w:r>
        <w:rPr>
          <w:bCs/>
          <w:b/>
        </w:rPr>
        <w:t xml:space="preserve">Cultural Preservation:</w:t>
      </w:r>
      <w:r>
        <w:t xml:space="preserve"> </w:t>
      </w:r>
      <w:r>
        <w:t xml:space="preserve">Formalizing endangered techniques into UNESCO-adjacent documentation, safeguarding intangible heritage tied to Córdoba’s identity.</w:t>
      </w:r>
    </w:p>
    <w:p>
      <w:pPr>
        <w:numPr>
          <w:ilvl w:val="0"/>
          <w:numId w:val="1003"/>
        </w:numPr>
        <w:pStyle w:val="Compact"/>
      </w:pPr>
      <w:r>
        <w:rPr>
          <w:bCs/>
          <w:b/>
        </w:rPr>
        <w:t xml:space="preserve">Economic Resilience:</w:t>
      </w:r>
      <w:r>
        <w:t xml:space="preserve"> </w:t>
      </w:r>
      <w:r>
        <w:t xml:space="preserve">Proposing a "Craftsperson Micro-Loan" model for artisanal tool upgrades, potentially creating 50+ new sustainable jobs in rural Córdoba by 2030.</w:t>
      </w:r>
    </w:p>
    <w:p>
      <w:pPr>
        <w:numPr>
          <w:ilvl w:val="0"/>
          <w:numId w:val="1003"/>
        </w:numPr>
        <w:pStyle w:val="Compact"/>
      </w:pPr>
      <w:r>
        <w:rPr>
          <w:bCs/>
          <w:b/>
        </w:rPr>
        <w:t xml:space="preserve">Policy Innovation:</w:t>
      </w:r>
      <w:r>
        <w:t xml:space="preserve"> </w:t>
      </w:r>
      <w:r>
        <w:t xml:space="preserve">Influencing regional initiatives like Córdoba’s *Plan Provincial de Artesanías* to prioritize carpentry within the province’s $12M annual craft subsidy budget.</w:t>
      </w:r>
    </w:p>
    <w:bookmarkEnd w:id="25"/>
    <w:bookmarkStart w:id="26" w:name="expected-outcomes"/>
    <w:p>
      <w:pPr>
        <w:pStyle w:val="Heading2"/>
      </w:pPr>
      <w:r>
        <w:t xml:space="preserve">7. Expected Outcomes</w:t>
      </w:r>
    </w:p>
    <w:p>
      <w:pPr>
        <w:pStyle w:val="FirstParagraph"/>
      </w:pPr>
      <w:r>
        <w:t xml:space="preserve">The research will deliver:</w:t>
      </w:r>
    </w:p>
    <w:p>
      <w:pPr>
        <w:numPr>
          <w:ilvl w:val="0"/>
          <w:numId w:val="1004"/>
        </w:numPr>
        <w:pStyle w:val="Compact"/>
      </w:pPr>
      <w:r>
        <w:t xml:space="preserve">A publicly accessible digital archive of Córdoba’s woodworking techniques via the *Universidad Nacional de Córdoba*’s Open Knowledge Repository.</w:t>
      </w:r>
    </w:p>
    <w:p>
      <w:pPr>
        <w:numPr>
          <w:ilvl w:val="0"/>
          <w:numId w:val="1004"/>
        </w:numPr>
        <w:pStyle w:val="Compact"/>
      </w:pPr>
      <w:r>
        <w:t xml:space="preserve">A policy brief for Argentina’s National Institute of Crafts (*Instituto Nacional de Artesanías*) advocating for carpentry in rural development programs.</w:t>
      </w:r>
    </w:p>
    <w:p>
      <w:pPr>
        <w:numPr>
          <w:ilvl w:val="0"/>
          <w:numId w:val="1004"/>
        </w:numPr>
        <w:pStyle w:val="Compact"/>
      </w:pPr>
      <w:r>
        <w:t xml:space="preserve">Validation of a "Córdoba Wooden Heritage Certification" system, allowing artisans to market products as culturally authentic (similar to *Denominación de Origen* wine models).</w:t>
      </w:r>
    </w:p>
    <w:bookmarkEnd w:id="26"/>
    <w:bookmarkStart w:id="27" w:name="timeline-and-feasibility"/>
    <w:p>
      <w:pPr>
        <w:pStyle w:val="Heading2"/>
      </w:pPr>
      <w:r>
        <w:t xml:space="preserve">8. Timeline and Feasibility</w:t>
      </w:r>
    </w:p>
    <w:p>
      <w:pPr>
        <w:pStyle w:val="FirstParagraph"/>
      </w:pPr>
      <w:r>
        <w:t xml:space="preserve">The 18-month project aligns with Córdoba’s academic calendar and leverages existing partnerships: The *Museo del Agua* in Río Cuarto for workshop space, the *Cátedra de Artesanías* at UNC for technical guidance, and funding from Argentina’s *Consejo Nacional de Investigaciones Científicas y Técnicas* (CONICET). Monthly progress reports will be shared with Córdoba’s Ministry of Production to ensure stakeholder buy-in. Key milestones include: completion of the artisan survey by Month 4, prototype toolkit testing by Month 12, and final policy submission at Month 18.</w:t>
      </w:r>
    </w:p>
    <w:bookmarkEnd w:id="27"/>
    <w:bookmarkStart w:id="28" w:name="conclusion"/>
    <w:p>
      <w:pPr>
        <w:pStyle w:val="Heading2"/>
      </w:pPr>
      <w:r>
        <w:t xml:space="preserve">9. Conclusion</w:t>
      </w:r>
    </w:p>
    <w:p>
      <w:pPr>
        <w:pStyle w:val="FirstParagraph"/>
      </w:pPr>
      <w:r>
        <w:t xml:space="preserve">The profession of the carpenter in Argentina Córdoba represents more than skilled labor—it embodies a living archive of regional identity. This</w:t>
      </w:r>
      <w:r>
        <w:t xml:space="preserve"> </w:t>
      </w:r>
      <w:r>
        <w:rPr>
          <w:iCs/>
          <w:i/>
        </w:rPr>
        <w:t xml:space="preserve">Thesis Proposal</w:t>
      </w:r>
      <w:r>
        <w:t xml:space="preserve"> </w:t>
      </w:r>
      <w:r>
        <w:t xml:space="preserve">positions the carpenter not as a relic of the past, but as a pivotal actor in sustainable development for Córdoba’s future. By centering local voices and contextualizing global craft preservation frameworks within Argentina’s specific socio-ecological reality, this research promises actionable solutions to safeguard both cultural heritage and livelihoods. As Córdoba navigates its trajectory as a hub for artisanal tourism within Argentina, the survival of its carpentry tradition is indispensable to authentic community-led growth.</w:t>
      </w:r>
    </w:p>
    <w:bookmarkEnd w:id="28"/>
    <w:bookmarkStart w:id="29" w:name="references-selected"/>
    <w:p>
      <w:pPr>
        <w:pStyle w:val="Heading2"/>
      </w:pPr>
      <w:r>
        <w:t xml:space="preserve">10. References (Selected)</w:t>
      </w:r>
    </w:p>
    <w:p>
      <w:pPr>
        <w:numPr>
          <w:ilvl w:val="0"/>
          <w:numId w:val="1005"/>
        </w:numPr>
        <w:pStyle w:val="Compact"/>
      </w:pPr>
      <w:r>
        <w:t xml:space="preserve">García Canclini, N. (1995). *Culturas Híbridas*. Fondo de Cultura Económica.</w:t>
      </w:r>
    </w:p>
    <w:p>
      <w:pPr>
        <w:numPr>
          <w:ilvl w:val="0"/>
          <w:numId w:val="1005"/>
        </w:numPr>
        <w:pStyle w:val="Compact"/>
      </w:pPr>
      <w:r>
        <w:t xml:space="preserve">López, M. (2018). "Craft Economies in Argentine Provinces." *Journal of Latin American Studies*, 50(2), 345–367.</w:t>
      </w:r>
    </w:p>
    <w:p>
      <w:pPr>
        <w:numPr>
          <w:ilvl w:val="0"/>
          <w:numId w:val="1005"/>
        </w:numPr>
        <w:pStyle w:val="Compact"/>
      </w:pPr>
      <w:r>
        <w:t xml:space="preserve">Sánchez, G. (2019). "Woodwork and Identity in Central Argentina." *Cultural Heritage Review*, 14(3), 88–104.</w:t>
      </w:r>
    </w:p>
    <w:p>
      <w:pPr>
        <w:numPr>
          <w:ilvl w:val="0"/>
          <w:numId w:val="1005"/>
        </w:numPr>
        <w:pStyle w:val="Compact"/>
      </w:pPr>
      <w:r>
        <w:t xml:space="preserve">CONICET. (2022). *Argentina’s Craft Sector Analysis Report*. Buenos Aires.</w:t>
      </w:r>
    </w:p>
    <w:p>
      <w:pPr>
        <w:pStyle w:val="FirstParagraph"/>
      </w:pPr>
      <w:r>
        <w:rPr>
          <w:bCs/>
          <w:b/>
        </w:rPr>
        <w:t xml:space="preserve">Total Word Count: 936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Evolution of Carpentry in Argentina Córdoba</dc:title>
  <dc:creator/>
  <dc:language>en</dc:language>
  <cp:keywords/>
  <dcterms:created xsi:type="dcterms:W3CDTF">2025-12-11T12:34:31Z</dcterms:created>
  <dcterms:modified xsi:type="dcterms:W3CDTF">2025-12-11T12:34:31Z</dcterms:modified>
</cp:coreProperties>
</file>

<file path=docProps/custom.xml><?xml version="1.0" encoding="utf-8"?>
<Properties xmlns="http://schemas.openxmlformats.org/officeDocument/2006/custom-properties" xmlns:vt="http://schemas.openxmlformats.org/officeDocument/2006/docPropsVTypes"/>
</file>