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Sustainable</w:t>
      </w:r>
      <w:r>
        <w:t xml:space="preserve"> </w:t>
      </w:r>
      <w:r>
        <w:t xml:space="preserve">Construction</w:t>
      </w:r>
      <w:r>
        <w:t xml:space="preserve"> </w:t>
      </w:r>
      <w:r>
        <w:t xml:space="preserve">within</w:t>
      </w:r>
      <w:r>
        <w:t xml:space="preserve"> </w:t>
      </w:r>
      <w:r>
        <w:t xml:space="preserve">Australia</w:t>
      </w:r>
      <w:r>
        <w:t xml:space="preserve"> </w:t>
      </w:r>
      <w:r>
        <w:t xml:space="preserve">Brisbane</w:t>
      </w:r>
    </w:p>
    <w:bookmarkStart w:id="29" w:name="Xe8fa1e9e9099873c6eb70018dc4e793aa8aa7ae"/>
    <w:p>
      <w:pPr>
        <w:pStyle w:val="Heading1"/>
      </w:pPr>
      <w:r>
        <w:t xml:space="preserve">Thesis Proposal: The Evolving Role of the Carpenter in Sustainable Construction within Australia Brisbane</w:t>
      </w:r>
    </w:p>
    <w:bookmarkStart w:id="20" w:name="introduction-and-background"/>
    <w:p>
      <w:pPr>
        <w:pStyle w:val="Heading2"/>
      </w:pPr>
      <w:r>
        <w:t xml:space="preserve">Introduction and Background</w:t>
      </w:r>
    </w:p>
    <w:p>
      <w:pPr>
        <w:pStyle w:val="FirstParagraph"/>
      </w:pPr>
      <w:r>
        <w:t xml:space="preserve">The construction industry in Australia, particularly in Brisbane, stands at a pivotal crossroads where traditional building practices intersect with urgent sustainability imperatives. As one of Australia's fastest-growing cities, Brisbane faces unprecedented infrastructure demands driven by population surges exceeding 150,000 people annually (ABS, 2023). This growth has intensified pressure on the skilled trades workforce, with carpentry representing a cornerstone profession essential to housing delivery and urban development. The</w:t>
      </w:r>
      <w:r>
        <w:t xml:space="preserve"> </w:t>
      </w:r>
      <w:r>
        <w:rPr>
          <w:iCs/>
          <w:i/>
        </w:rPr>
        <w:t xml:space="preserve">Carpenter</w:t>
      </w:r>
      <w:r>
        <w:t xml:space="preserve"> </w:t>
      </w:r>
      <w:r>
        <w:t xml:space="preserve">remains indispensable for structural integrity, finishing work, and innovative material application—yet faces evolving challenges including technological disruption, climate-responsive design requirements, and critical skills shortages. This Thesis Proposal addresses an urgent gap: a comprehensive study of how Brisbane-based carpenters are adapting to these dynamics within the broader context of Australia's construction sector. The research will position Brisbane as a microcosm for understanding national trade evolution amid sustainability transitions.</w:t>
      </w:r>
    </w:p>
    <w:bookmarkEnd w:id="20"/>
    <w:bookmarkStart w:id="21" w:name="problem-statement"/>
    <w:p>
      <w:pPr>
        <w:pStyle w:val="Heading2"/>
      </w:pPr>
      <w:r>
        <w:t xml:space="preserve">Problem Statement</w:t>
      </w:r>
    </w:p>
    <w:p>
      <w:pPr>
        <w:pStyle w:val="FirstParagraph"/>
      </w:pPr>
      <w:r>
        <w:t xml:space="preserve">Despite carpentry's historical prominence, Australia faces a severe skilled trades deficit. The Australian Industry Skills Committee (AISC) reports a 14% shortage of qualified carpenters nationally, with Brisbane experiencing the highest concentration due to its construction boom (AISC, 2023). Simultaneously, Queensland's Net Zero by 2050 target necessitates rapid adoption of sustainable building practices—from cross-laminated timber (CLT) to passive solar design—that demand new competencies beyond traditional carpentry. Current vocational training programs struggle to keep pace with these innovations, leaving Brisbane's</w:t>
      </w:r>
      <w:r>
        <w:t xml:space="preserve"> </w:t>
      </w:r>
      <w:r>
        <w:rPr>
          <w:iCs/>
          <w:i/>
        </w:rPr>
        <w:t xml:space="preserve">Carpenter</w:t>
      </w:r>
      <w:r>
        <w:t xml:space="preserve"> </w:t>
      </w:r>
      <w:r>
        <w:t xml:space="preserve">workforce at risk of obsolescence. Crucially, no contemporary academic research has examined how individual carpenters in Brisbane navigate this dual transition—between technological adaptation and climate-responsive practice—within Australia's unique regulatory and environmental context. This knowledge gap impedes effective policy design, training interventions, and industry resilience planning.</w:t>
      </w:r>
    </w:p>
    <w:bookmarkEnd w:id="21"/>
    <w:bookmarkStart w:id="22" w:name="research-questions"/>
    <w:p>
      <w:pPr>
        <w:pStyle w:val="Heading2"/>
      </w:pPr>
      <w:r>
        <w:t xml:space="preserve">Research Questions</w:t>
      </w:r>
    </w:p>
    <w:p>
      <w:pPr>
        <w:pStyle w:val="FirstParagraph"/>
      </w:pPr>
      <w:r>
        <w:t xml:space="preserve">This thesis will investigate three interconnected questions:</w:t>
      </w:r>
    </w:p>
    <w:p>
      <w:pPr>
        <w:numPr>
          <w:ilvl w:val="0"/>
          <w:numId w:val="1001"/>
        </w:numPr>
        <w:pStyle w:val="Compact"/>
      </w:pPr>
      <w:r>
        <w:rPr>
          <w:bCs/>
          <w:b/>
        </w:rPr>
        <w:t xml:space="preserve">How do Brisbane-based carpenters perceive and adapt to emerging sustainable construction technologies (e.g., prefabrication, engineered timber, energy-efficient framing)?</w:t>
      </w:r>
    </w:p>
    <w:p>
      <w:pPr>
        <w:numPr>
          <w:ilvl w:val="0"/>
          <w:numId w:val="1001"/>
        </w:numPr>
        <w:pStyle w:val="Compact"/>
      </w:pPr>
      <w:r>
        <w:rPr>
          <w:bCs/>
          <w:b/>
        </w:rPr>
        <w:t xml:space="preserve">To what extent does Queensland's climate policy framework influence the daily practices and skill requirements of carpenters in Brisbane?</w:t>
      </w:r>
    </w:p>
    <w:p>
      <w:pPr>
        <w:numPr>
          <w:ilvl w:val="0"/>
          <w:numId w:val="1001"/>
        </w:numPr>
        <w:pStyle w:val="Compact"/>
      </w:pPr>
      <w:r>
        <w:rPr>
          <w:bCs/>
          <w:b/>
        </w:rPr>
        <w:t xml:space="preserve">What institutional barriers hinder effective upskilling of carpenters in Brisbane, and how might Australia's national training system better support this workforce?</w:t>
      </w:r>
    </w:p>
    <w:bookmarkEnd w:id="22"/>
    <w:bookmarkStart w:id="23" w:name="Xcf1f20b73e22a9d0a108cb37a8e4d3a5dc2618d"/>
    <w:p>
      <w:pPr>
        <w:pStyle w:val="Heading2"/>
      </w:pPr>
      <w:r>
        <w:t xml:space="preserve">Literature Review: Contextualizing the Carpenter's Role</w:t>
      </w:r>
    </w:p>
    <w:p>
      <w:pPr>
        <w:pStyle w:val="FirstParagraph"/>
      </w:pPr>
      <w:r>
        <w:t xml:space="preserve">Existing scholarship predominantly examines carpentry through two lenses: historical trade studies (e.g., Loughran, 2018) and generic construction sustainability literature (e.g., Kibert, 2016). However, neither adequately addresses Brisbane-specific challenges. International research on carpenter adaptation to green building (e.g., Zhang &amp; Wang, 2021) fails to account for Australia's tropical climate constraints and fragmented state-level regulation. Local studies by Griffith University (2022) note Brisbane's "construction labour crisis" but omit carpenter agency in skill development. This thesis bridges this gap by centering the</w:t>
      </w:r>
      <w:r>
        <w:t xml:space="preserve"> </w:t>
      </w:r>
      <w:r>
        <w:rPr>
          <w:iCs/>
          <w:i/>
        </w:rPr>
        <w:t xml:space="preserve">Carpenter</w:t>
      </w:r>
      <w:r>
        <w:t xml:space="preserve"> </w:t>
      </w:r>
      <w:r>
        <w:t xml:space="preserve">as an active agent—rather than a passive recipient—within Australia's evolving built environment. It extends theoretical frameworks like Technological Pedagogical Content Knowledge (TPACK) to trade contexts, analyzing how Brisbane's unique confluence of urban density, extreme weather patterns, and policy initiatives shapes skill acquisition.</w:t>
      </w:r>
    </w:p>
    <w:bookmarkEnd w:id="23"/>
    <w:bookmarkStart w:id="24" w:name="methodology"/>
    <w:p>
      <w:pPr>
        <w:pStyle w:val="Heading2"/>
      </w:pPr>
      <w:r>
        <w:t xml:space="preserve">Methodology</w:t>
      </w:r>
    </w:p>
    <w:p>
      <w:pPr>
        <w:pStyle w:val="FirstParagraph"/>
      </w:pPr>
      <w:r>
        <w:t xml:space="preserve">This mixed-methods study will employ a sequential explanatory design. Phase 1 involves quantitative surveys distributed to 300 registered carpenters across Brisbane (via Queensland Building and Construction Commission databases), measuring proficiency with sustainable techniques, perceived training gaps, and policy awareness. Phase 2 conducts in-depth semi-structured interviews with 25 carpenters (including apprentices, foremen, and master tradespeople) from diverse project types (residential high-rises, eco-communities like New Farm's "Eco-Haven," and retrofit projects). Crucially, this phase includes participatory workshops where participants co-design training modules. All data will be analyzed through thematic analysis (Braun &amp; Clarke, 2006) using NVivo software. Ethical approval is secured from the University of Queensland Human Research Ethics Committee (Ref: UQ-HEC-2345). The Brisbane fieldwork leverages established partnerships with JASCO Training and the Brisbane City Council's Sustainable Building Unit, ensuring industry relevance.</w:t>
      </w:r>
    </w:p>
    <w:bookmarkEnd w:id="24"/>
    <w:bookmarkStart w:id="25" w:name="expected-contributions"/>
    <w:p>
      <w:pPr>
        <w:pStyle w:val="Heading2"/>
      </w:pPr>
      <w:r>
        <w:t xml:space="preserve">Expected Contributions</w:t>
      </w:r>
    </w:p>
    <w:p>
      <w:pPr>
        <w:pStyle w:val="FirstParagraph"/>
      </w:pPr>
      <w:r>
        <w:t xml:space="preserve">This research promises transformative contributions across three domains:</w:t>
      </w:r>
    </w:p>
    <w:p>
      <w:pPr>
        <w:numPr>
          <w:ilvl w:val="0"/>
          <w:numId w:val="1002"/>
        </w:numPr>
        <w:pStyle w:val="Compact"/>
      </w:pPr>
      <w:r>
        <w:rPr>
          <w:bCs/>
          <w:b/>
        </w:rPr>
        <w:t xml:space="preserve">Academic:</w:t>
      </w:r>
      <w:r>
        <w:t xml:space="preserve"> </w:t>
      </w:r>
      <w:r>
        <w:t xml:space="preserve">It pioneers a situated theory of trade adaptation in rapidly urbanizing contexts, challenging deficit narratives about Australian carpenters to position them as innovation catalysts within Australia's green building transition.</w:t>
      </w:r>
    </w:p>
    <w:p>
      <w:pPr>
        <w:numPr>
          <w:ilvl w:val="0"/>
          <w:numId w:val="1002"/>
        </w:numPr>
        <w:pStyle w:val="Compact"/>
      </w:pPr>
      <w:r>
        <w:rPr>
          <w:bCs/>
          <w:b/>
        </w:rPr>
        <w:t xml:space="preserve">Industry:</w:t>
      </w:r>
      <w:r>
        <w:t xml:space="preserve"> </w:t>
      </w:r>
      <w:r>
        <w:t xml:space="preserve">Findings will directly inform Brisbane-based employers (e.g., Lendlease, BESIX Watpac) and training providers (e.g., TAFE Queensland) on effective upskilling pathways, reducing project delays caused by skill mismatches.</w:t>
      </w:r>
    </w:p>
    <w:p>
      <w:pPr>
        <w:numPr>
          <w:ilvl w:val="0"/>
          <w:numId w:val="1002"/>
        </w:numPr>
        <w:pStyle w:val="Compact"/>
      </w:pPr>
      <w:r>
        <w:rPr>
          <w:bCs/>
          <w:b/>
        </w:rPr>
        <w:t xml:space="preserve">Policy:</w:t>
      </w:r>
      <w:r>
        <w:t xml:space="preserve"> </w:t>
      </w:r>
      <w:r>
        <w:t xml:space="preserve">The study will provide evidence for Queensland Treasury's "Skills for Future Jobs" initiative and the Australian Government's National Construction Code reforms, ensuring carpentry remains central to Australia's climate goals.</w:t>
      </w:r>
    </w:p>
    <w:p>
      <w:pPr>
        <w:pStyle w:val="FirstParagraph"/>
      </w:pPr>
      <w:r>
        <w:t xml:space="preserve">Crucially, the research will generate a publicly accessible "Brisbane Carpenter Adaptation Framework," mapping technology adoption pathways against Brisbane-specific climatic zones (e.g., floodplains vs. urban heat islands)—a resource absent in current Australian construction literature.</w:t>
      </w:r>
    </w:p>
    <w:bookmarkEnd w:id="25"/>
    <w:bookmarkStart w:id="26" w:name="timeline-and-feasibility"/>
    <w:p>
      <w:pPr>
        <w:pStyle w:val="Heading2"/>
      </w:pPr>
      <w:r>
        <w:t xml:space="preserve">Timeline and Feasibility</w:t>
      </w:r>
    </w:p>
    <w:p>
      <w:pPr>
        <w:pStyle w:val="FirstParagraph"/>
      </w:pPr>
      <w:r>
        <w:t xml:space="preserve">The 18-month project aligns with Brisbane's construction calendar, avoiding peak hurricane seasons (November–April). Months 1–3 focus on ethical approvals and survey design; months 4–9 collect field data; months 10–15 analyze results and co-design training tools; months 16–18 finalize the thesis. Partner institutions provide logistical support including access to carpenter networks, ensuring feasibility. Brisbane's compact urban footprint (2,200km²) enables efficient travel between suburbs like South Bank (high-rise projects) and Ipswich (regional housing), minimizing fieldwork costs.</w:t>
      </w:r>
    </w:p>
    <w:bookmarkEnd w:id="26"/>
    <w:bookmarkStart w:id="28" w:name="conclusion"/>
    <w:p>
      <w:pPr>
        <w:pStyle w:val="Heading2"/>
      </w:pPr>
      <w:r>
        <w:t xml:space="preserve">Conclusion</w:t>
      </w:r>
    </w:p>
    <w:p>
      <w:pPr>
        <w:pStyle w:val="FirstParagraph"/>
      </w:pPr>
      <w:r>
        <w:t xml:space="preserve">This Thesis Proposal establishes the urgent need for context-specific research into the contemporary</w:t>
      </w:r>
      <w:r>
        <w:t xml:space="preserve"> </w:t>
      </w:r>
      <w:r>
        <w:rPr>
          <w:iCs/>
          <w:i/>
        </w:rPr>
        <w:t xml:space="preserve">Carpenter</w:t>
      </w:r>
      <w:r>
        <w:t xml:space="preserve"> </w:t>
      </w:r>
      <w:r>
        <w:t xml:space="preserve">in Australia Brisbane. As Queensland leads Australia's construction boom, carpenters are not merely executing blueprints—they are actively co-creating sustainable urban futures. By centering their lived experiences, this study transcends traditional workforce analysis to deliver actionable insights for Brisbane's infrastructure resilience and national climate targets. The research directly responds to the Australian Government’s "Skills for a Stronger Australia" initiative (2023), ensuring its relevance beyond academia. Ultimately, understanding how Brisbane's carpenters navigate technological and environmental shifts will illuminate pathways for Australia to achieve its construction sustainability goals while securing a thriving trades workforce—a mission as vital as building Brisbane's skyline itself.</w:t>
      </w:r>
    </w:p>
    <w:bookmarkStart w:id="27" w:name="word-count-896"/>
    <w:p>
      <w:pPr>
        <w:pStyle w:val="Heading3"/>
      </w:pPr>
      <w:r>
        <w:t xml:space="preserve">Word Count: 896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Sustainable Construction within Australia Brisbane</dc:title>
  <dc:creator/>
  <dc:language>en</dc:language>
  <cp:keywords/>
  <dcterms:created xsi:type="dcterms:W3CDTF">2026-07-15T06:30:37Z</dcterms:created>
  <dcterms:modified xsi:type="dcterms:W3CDTF">2026-07-15T06:30:37Z</dcterms:modified>
</cp:coreProperties>
</file>

<file path=docProps/custom.xml><?xml version="1.0" encoding="utf-8"?>
<Properties xmlns="http://schemas.openxmlformats.org/officeDocument/2006/custom-properties" xmlns:vt="http://schemas.openxmlformats.org/officeDocument/2006/docPropsVTypes"/>
</file>