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Berlin's</w:t>
      </w:r>
      <w:r>
        <w:t xml:space="preserve"> </w:t>
      </w:r>
      <w:r>
        <w:t xml:space="preserve">Construction</w:t>
      </w:r>
      <w:r>
        <w:t xml:space="preserve"> </w:t>
      </w:r>
      <w:r>
        <w:t xml:space="preserve">Landscape</w:t>
      </w:r>
    </w:p>
    <w:bookmarkStart w:id="28" w:name="Xe0b9a82de3cd5089221e51a8cf53970cf1ab085"/>
    <w:p>
      <w:pPr>
        <w:pStyle w:val="Heading1"/>
      </w:pPr>
      <w:r>
        <w:t xml:space="preserve">Thesis Proposal: The Evolving Role of the Carpenter in Germany Berlin's Construction Landscape</w:t>
      </w:r>
    </w:p>
    <w:bookmarkStart w:id="20" w:name="introduction"/>
    <w:p>
      <w:pPr>
        <w:pStyle w:val="Heading2"/>
      </w:pPr>
      <w:r>
        <w:t xml:space="preserve">Introduction</w:t>
      </w:r>
    </w:p>
    <w:p>
      <w:pPr>
        <w:pStyle w:val="FirstParagraph"/>
      </w:pPr>
      <w:r>
        <w:t xml:space="preserve">Germany Berlin stands at a pivotal moment in its urban development, with ambitious sustainability targets and rapid gentrification reshaping the city's skyline. As one of Europe's fastest-growing metropolises, Berlin faces unique challenges in housing construction, heritage preservation, and climate adaptation. Central to addressing these challenges is the skilled</w:t>
      </w:r>
      <w:r>
        <w:t xml:space="preserve"> </w:t>
      </w:r>
      <w:r>
        <w:rPr>
          <w:bCs/>
          <w:b/>
        </w:rPr>
        <w:t xml:space="preserve">Carpenter</w:t>
      </w:r>
      <w:r>
        <w:t xml:space="preserve">, whose role has evolved from traditional timber framing to multifaceted sustainability practitioner. This</w:t>
      </w:r>
      <w:r>
        <w:t xml:space="preserve"> </w:t>
      </w:r>
      <w:r>
        <w:rPr>
          <w:iCs/>
          <w:i/>
        </w:rPr>
        <w:t xml:space="preserve">Thesis Proposal</w:t>
      </w:r>
      <w:r>
        <w:t xml:space="preserve"> </w:t>
      </w:r>
      <w:r>
        <w:t xml:space="preserve">examines the professional transformation of the Carpenter within Germany Berlin's contemporary construction ecosystem, analyzing how historical craft traditions intersect with modern regulatory demands and urban innovation.</w:t>
      </w:r>
    </w:p>
    <w:bookmarkEnd w:id="20"/>
    <w:bookmarkStart w:id="21" w:name="research-problem-statement"/>
    <w:p>
      <w:pPr>
        <w:pStyle w:val="Heading2"/>
      </w:pPr>
      <w:r>
        <w:t xml:space="preserve">Research Problem Statement</w:t>
      </w:r>
    </w:p>
    <w:p>
      <w:pPr>
        <w:pStyle w:val="FirstParagraph"/>
      </w:pPr>
      <w:r>
        <w:t xml:space="preserve">Despite Berlin's status as a cultural and economic hub, the construction sector faces a critical skills gap in traditional trades. The German dual vocational training system (Duales Ausbildungssystem), while robust for foundational carpentry education, struggles to integrate emerging competencies required by Berlin's 2030 Climate Action Plan and stringent energy efficiency standards (</w:t>
      </w:r>
      <w:r>
        <w:rPr>
          <w:iCs/>
          <w:i/>
        </w:rPr>
        <w:t xml:space="preserve">EnEV</w:t>
      </w:r>
      <w:r>
        <w:t xml:space="preserve">). Current research largely overlooks how the</w:t>
      </w:r>
      <w:r>
        <w:t xml:space="preserve"> </w:t>
      </w:r>
      <w:r>
        <w:rPr>
          <w:bCs/>
          <w:b/>
        </w:rPr>
        <w:t xml:space="preserve">Carpenter</w:t>
      </w:r>
      <w:r>
        <w:t xml:space="preserve"> </w:t>
      </w:r>
      <w:r>
        <w:t xml:space="preserve">navigates these dual pressures—maintaining heritage craftsmanship while mastering new technologies like prefabricated modular systems and cross-laminated timber (CLT). This gap impedes evidence-based policy development for workforce sustainability in</w:t>
      </w:r>
      <w:r>
        <w:t xml:space="preserve"> </w:t>
      </w:r>
      <w:r>
        <w:rPr>
          <w:iCs/>
          <w:i/>
        </w:rPr>
        <w:t xml:space="preserve">Germany Berlin</w:t>
      </w:r>
      <w:r>
        <w:t xml:space="preserve">.</w:t>
      </w:r>
    </w:p>
    <w:bookmarkEnd w:id="21"/>
    <w:bookmarkStart w:id="22" w:name="literature-review-synthesis"/>
    <w:p>
      <w:pPr>
        <w:pStyle w:val="Heading2"/>
      </w:pPr>
      <w:r>
        <w:t xml:space="preserve">Literature Review Synthesis</w:t>
      </w:r>
    </w:p>
    <w:p>
      <w:pPr>
        <w:pStyle w:val="FirstParagraph"/>
      </w:pPr>
      <w:r>
        <w:t xml:space="preserve">Existing scholarship focuses narrowly on two dimensions of German carpentry. First, historical studies (e.g., Hessel et al., 2019) document Berlin's timber-framed heritage but ignore contemporary adaptation challenges. Second, technical analyses (Bundesinstitut für Bau-, Stadt- und Raumforschung, 2021) address energy-efficient building methods without contextualizing the Carpenter's role in implementation. Crucially, no study examines how Berlin-specific factors—such as its post-reunification housing crisis, dense urban fabric, and stringent</w:t>
      </w:r>
      <w:r>
        <w:t xml:space="preserve"> </w:t>
      </w:r>
      <w:r>
        <w:rPr>
          <w:iCs/>
          <w:i/>
        </w:rPr>
        <w:t xml:space="preserve">Denkmalschutz</w:t>
      </w:r>
      <w:r>
        <w:t xml:space="preserve"> </w:t>
      </w:r>
      <w:r>
        <w:t xml:space="preserve">(heritage protection laws)—reshape the Carpenter's daily practice. This proposal bridges that gap through a localized lens.</w:t>
      </w:r>
    </w:p>
    <w:bookmarkEnd w:id="22"/>
    <w:bookmarkStart w:id="23" w:name="research-objectives-and-questions"/>
    <w:p>
      <w:pPr>
        <w:pStyle w:val="Heading2"/>
      </w:pPr>
      <w:r>
        <w:t xml:space="preserve">Research Objectives and Questions</w:t>
      </w:r>
    </w:p>
    <w:p>
      <w:pPr>
        <w:pStyle w:val="FirstParagraph"/>
      </w:pPr>
      <w:r>
        <w:rPr>
          <w:bCs/>
          <w:b/>
        </w:rPr>
        <w:t xml:space="preserve">Primary Objective:</w:t>
      </w:r>
      <w:r>
        <w:t xml:space="preserve"> </w:t>
      </w:r>
      <w:r>
        <w:t xml:space="preserve">To map the evolving competency profile of the Carpenter in Berlin's construction sector (2015–2025).</w:t>
      </w:r>
    </w:p>
    <w:p>
      <w:pPr>
        <w:pStyle w:val="BodyText"/>
      </w:pPr>
      <w:r>
        <w:rPr>
          <w:bCs/>
          <w:b/>
        </w:rPr>
        <w:t xml:space="preserve">Key Research Questions:</w:t>
      </w:r>
    </w:p>
    <w:p>
      <w:pPr>
        <w:numPr>
          <w:ilvl w:val="0"/>
          <w:numId w:val="1001"/>
        </w:numPr>
        <w:pStyle w:val="Compact"/>
      </w:pPr>
      <w:r>
        <w:t xml:space="preserve">How do Berlin-specific regulations (e.g.,</w:t>
      </w:r>
      <w:r>
        <w:t xml:space="preserve"> </w:t>
      </w:r>
      <w:r>
        <w:rPr>
          <w:iCs/>
          <w:i/>
        </w:rPr>
        <w:t xml:space="preserve">Berlin Energy Saving Ordinance</w:t>
      </w:r>
      <w:r>
        <w:t xml:space="preserve">) reshape the Carpenter's technical skill requirements?</w:t>
      </w:r>
    </w:p>
    <w:p>
      <w:pPr>
        <w:numPr>
          <w:ilvl w:val="0"/>
          <w:numId w:val="1001"/>
        </w:numPr>
        <w:pStyle w:val="Compact"/>
      </w:pPr>
      <w:r>
        <w:t xml:space="preserve">To what extent does heritage conservation demand new hybrid skills among Carpenters in Berlin's listed districts (e.g., Mitte, Prenzlauer Berg)?</w:t>
      </w:r>
    </w:p>
    <w:p>
      <w:pPr>
        <w:numPr>
          <w:ilvl w:val="0"/>
          <w:numId w:val="1001"/>
        </w:numPr>
        <w:pStyle w:val="Compact"/>
      </w:pPr>
      <w:r>
        <w:t xml:space="preserve">How do generational differences in Berlin Carpenters influence adoption of digital tools (e.g., BIM integration, laser-guided saws)?</w:t>
      </w:r>
    </w:p>
    <w:bookmarkEnd w:id="23"/>
    <w:bookmarkStart w:id="24" w:name="methodology"/>
    <w:p>
      <w:pPr>
        <w:pStyle w:val="Heading2"/>
      </w:pPr>
      <w:r>
        <w:t xml:space="preserve">Methodology</w:t>
      </w:r>
    </w:p>
    <w:p>
      <w:pPr>
        <w:pStyle w:val="FirstParagraph"/>
      </w:pPr>
      <w:r>
        <w:t xml:space="preserve">This mixed-methods study employs a three-pronged approach tailored to Germany Berlin:</w:t>
      </w:r>
    </w:p>
    <w:p>
      <w:pPr>
        <w:numPr>
          <w:ilvl w:val="0"/>
          <w:numId w:val="1002"/>
        </w:numPr>
        <w:pStyle w:val="Compact"/>
      </w:pPr>
      <w:r>
        <w:t xml:space="preserve">Quantitative:** Surveys of 120 Carpenters across Berlin's construction firms (stratified by firm size and heritage project involvement), analyzing skill acquisition timelines.</w:t>
      </w:r>
    </w:p>
    <w:p>
      <w:pPr>
        <w:numPr>
          <w:ilvl w:val="0"/>
          <w:numId w:val="1002"/>
        </w:numPr>
        <w:pStyle w:val="Compact"/>
      </w:pPr>
      <w:r>
        <w:t xml:space="preserve">Qualitative:** In-depth interviews with 30 Carpenters, including apprentices from dual training programs (e.g.,</w:t>
      </w:r>
      <w:r>
        <w:t xml:space="preserve"> </w:t>
      </w:r>
      <w:r>
        <w:rPr>
          <w:iCs/>
          <w:i/>
        </w:rPr>
        <w:t xml:space="preserve">Meisterbetrieb</w:t>
      </w:r>
      <w:r>
        <w:t xml:space="preserve"> </w:t>
      </w:r>
      <w:r>
        <w:t xml:space="preserve">in Kreuzberg) and master craftsmen preserving historic carpentry (</w:t>
      </w:r>
      <w:r>
        <w:rPr>
          <w:iCs/>
          <w:i/>
        </w:rPr>
        <w:t xml:space="preserve">Fachwerk</w:t>
      </w:r>
      <w:r>
        <w:t xml:space="preserve">) techniques.</w:t>
      </w:r>
    </w:p>
    <w:p>
      <w:pPr>
        <w:numPr>
          <w:ilvl w:val="0"/>
          <w:numId w:val="1002"/>
        </w:numPr>
        <w:pStyle w:val="Compact"/>
      </w:pPr>
      <w:r>
        <w:t xml:space="preserve">Contextual Analysis:** Review of Berlin Senate Department for Urban Development policies (2015–2023) alongside building permits for heritage projects to correlate regulatory shifts with skill demands.</w:t>
      </w:r>
    </w:p>
    <w:p>
      <w:pPr>
        <w:pStyle w:val="FirstParagraph"/>
      </w:pPr>
      <w:r>
        <w:t xml:space="preserve">Data collection occurs in Q3–Q4 2024, utilizing German-language translation protocols for immigrant Carpenters. Ethical approval will be sought from the Technical University of Berlin's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yield three key contributions to Germany Berlin's construction ecosystem:</w:t>
      </w:r>
    </w:p>
    <w:p>
      <w:pPr>
        <w:numPr>
          <w:ilvl w:val="0"/>
          <w:numId w:val="1003"/>
        </w:numPr>
        <w:pStyle w:val="Compact"/>
      </w:pPr>
      <w:r>
        <w:t xml:space="preserve">Workforce Development Framework:** A competency matrix identifying emerging skills (e.g., CLT assembly, heritage material sourcing) critical for Berlin's 2030 carbon neutrality goals.</w:t>
      </w:r>
    </w:p>
    <w:p>
      <w:pPr>
        <w:numPr>
          <w:ilvl w:val="0"/>
          <w:numId w:val="1003"/>
        </w:numPr>
        <w:pStyle w:val="Compact"/>
      </w:pPr>
      <w:r>
        <w:t xml:space="preserve">Policy Recommendations:** Evidence-based proposals for reforming vocational training curricula at Berlin's</w:t>
      </w:r>
      <w:r>
        <w:t xml:space="preserve"> </w:t>
      </w:r>
      <w:r>
        <w:rPr>
          <w:iCs/>
          <w:i/>
        </w:rPr>
        <w:t xml:space="preserve">Berufsschulen</w:t>
      </w:r>
      <w:r>
        <w:t xml:space="preserve"> </w:t>
      </w:r>
      <w:r>
        <w:t xml:space="preserve">(vocational schools), emphasizing context-specific modules like "Heritage-Centric Timber Framing" for historic districts.</w:t>
      </w:r>
    </w:p>
    <w:p>
      <w:pPr>
        <w:numPr>
          <w:ilvl w:val="0"/>
          <w:numId w:val="1003"/>
        </w:numPr>
        <w:pStyle w:val="Compact"/>
      </w:pPr>
      <w:r>
        <w:t xml:space="preserve">Social Impact Assessment:** Analysis of intergenerational knowledge transfer, addressing Berlin's projected 35% Carpenter shortage by 2030 (Federal Employment Agency, 2023) through targeted mentorship models.</w:t>
      </w:r>
    </w:p>
    <w:p>
      <w:pPr>
        <w:pStyle w:val="FirstParagraph"/>
      </w:pPr>
      <w:r>
        <w:t xml:space="preserve">The findings will directly inform the Berlin Senate's "Craftsmanship for Climate Neutrality" initiative and provide a replicable model for other German cities facing similar urban renewal pressures.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Oct–Dec 2023</w:t>
            </w:r>
          </w:p>
        </w:tc>
        <w:tc>
          <w:tcPr/>
          <w:p>
            <w:pPr>
              <w:pStyle w:val="Compact"/>
              <w:jc w:val="left"/>
            </w:pPr>
            <w:r>
              <w:t xml:space="preserve">Finalized methodology; ethics approval</w:t>
            </w:r>
          </w:p>
        </w:tc>
      </w:tr>
      <w:tr>
        <w:tc>
          <w:tcPr/>
          <w:p>
            <w:pPr>
              <w:pStyle w:val="Compact"/>
              <w:jc w:val="left"/>
            </w:pPr>
            <w:r>
              <w:t xml:space="preserve">Data Collection (Surveys &amp; Interviews)</w:t>
            </w:r>
          </w:p>
        </w:tc>
        <w:tc>
          <w:tcPr/>
          <w:p>
            <w:pPr>
              <w:pStyle w:val="Compact"/>
              <w:jc w:val="left"/>
            </w:pPr>
            <w:r>
              <w:t xml:space="preserve">Jan–Mar 2024</w:t>
            </w:r>
          </w:p>
        </w:tc>
        <w:tc>
          <w:tcPr/>
          <w:p>
            <w:pPr>
              <w:pStyle w:val="Compact"/>
              <w:jc w:val="left"/>
            </w:pPr>
            <w:r>
              <w:t xml:space="preserve">Quantitative dataset; Interview transcripts</w:t>
            </w:r>
          </w:p>
        </w:tc>
      </w:tr>
      <w:tr>
        <w:tc>
          <w:tcPr/>
          <w:p>
            <w:pPr>
              <w:pStyle w:val="Compact"/>
              <w:jc w:val="left"/>
            </w:pPr>
            <w:r>
              <w:t xml:space="preserve">Data Analysis &amp; Policy Drafting</w:t>
            </w:r>
          </w:p>
        </w:tc>
        <w:tc>
          <w:tcPr/>
          <w:p>
            <w:pPr>
              <w:pStyle w:val="Compact"/>
              <w:jc w:val="left"/>
            </w:pPr>
            <w:r>
              <w:t xml:space="preserve">Apr–Jun 2024</w:t>
            </w:r>
          </w:p>
        </w:tc>
        <w:tc>
          <w:tcPr/>
          <w:p>
            <w:pPr>
              <w:pStyle w:val="Compact"/>
              <w:jc w:val="left"/>
            </w:pPr>
            <w:r>
              <w:t xml:space="preserve">Competency framework; Policy brief for Berlin Senate</w:t>
            </w:r>
          </w:p>
        </w:tc>
      </w:tr>
      <w:tr>
        <w:tc>
          <w:tcPr/>
          <w:p>
            <w:pPr>
              <w:pStyle w:val="Compact"/>
              <w:jc w:val="left"/>
            </w:pPr>
            <w:r>
              <w:t xml:space="preserve">Dissertation Writing &amp; Defense Prep</w:t>
            </w:r>
          </w:p>
        </w:tc>
        <w:tc>
          <w:tcPr/>
          <w:p>
            <w:pPr>
              <w:pStyle w:val="Compact"/>
              <w:jc w:val="left"/>
            </w:pPr>
            <w:r>
              <w:t xml:space="preserve">Jul–Sep 2024</w:t>
            </w:r>
          </w:p>
        </w:tc>
        <w:tc>
          <w:tcPr/>
          <w:p>
            <w:pPr>
              <w:pStyle w:val="Compact"/>
              <w:jc w:val="left"/>
            </w:pPr>
            <w:r>
              <w:t xml:space="preserve">Complete thesis; Final defense at TU Berlin</w:t>
            </w:r>
          </w:p>
        </w:tc>
      </w:tr>
    </w:tbl>
    <w:bookmarkEnd w:id="26"/>
    <w:bookmarkStart w:id="27" w:name="conclusion"/>
    <w:p>
      <w:pPr>
        <w:pStyle w:val="Heading2"/>
      </w:pPr>
      <w:r>
        <w:t xml:space="preserve">Conclusion</w:t>
      </w:r>
    </w:p>
    <w:p>
      <w:pPr>
        <w:pStyle w:val="FirstParagraph"/>
      </w:pPr>
      <w:r>
        <w:t xml:space="preserve">The Carpenter represents the vital nexus between Berlin's historical identity and its sustainable future. This</w:t>
      </w:r>
      <w:r>
        <w:t xml:space="preserve"> </w:t>
      </w:r>
      <w:r>
        <w:rPr>
          <w:iCs/>
          <w:i/>
        </w:rPr>
        <w:t xml:space="preserve">Thesis Proposal</w:t>
      </w:r>
      <w:r>
        <w:t xml:space="preserve"> </w:t>
      </w:r>
      <w:r>
        <w:t xml:space="preserve">positions the Carpenter not merely as a technician but as a cultural custodian adapting to Berlin's unique urban fabric. By centering</w:t>
      </w:r>
      <w:r>
        <w:t xml:space="preserve"> </w:t>
      </w:r>
      <w:r>
        <w:rPr>
          <w:iCs/>
          <w:i/>
        </w:rPr>
        <w:t xml:space="preserve">Germany Berlin</w:t>
      </w:r>
      <w:r>
        <w:t xml:space="preserve">'s specific socio-technical context, this research transcends generic trade studies to deliver actionable insights for policymakers and educators. The outcome will empower Carpenters in Germany Berlin to lead the city's transition toward climate-resilient, culturally sensitive construction—a paradigm shift essential for the metropolis' next chapter.</w:t>
      </w:r>
    </w:p>
    <w:p>
      <w:pPr>
        <w:pStyle w:val="BodyText"/>
      </w:pPr>
      <w:r>
        <w:t xml:space="preserve">In a city where every renovation echoes centuries of history, understanding the evolving Carpenter is not just an academic pursuit—it is fundamental to Berlin's survival as both a living heritage and a dynamic modern capital. This thesis will illuminate how traditional craftsmanship, when strategically supported, becomes Germany's most valuable resource in building the sustainable metropolis of tomorrow.</w:t>
      </w:r>
    </w:p>
    <w:bookmarkEnd w:id="27"/>
    <w:p>
      <w:pPr>
        <w:pStyle w:val="BodyText"/>
      </w:pPr>
      <w:r>
        <w:t xml:space="preserve">Thesis Proposal submitted to the Faculty of Civil Engineering, Technical University of Berlin | Word Count: 927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Germany Berlin's Construction Landscape</dc:title>
  <dc:creator/>
  <dc:language>en</dc:language>
  <cp:keywords/>
  <dcterms:created xsi:type="dcterms:W3CDTF">2026-07-13T14:23:21Z</dcterms:created>
  <dcterms:modified xsi:type="dcterms:W3CDTF">2026-07-13T14:23:21Z</dcterms:modified>
</cp:coreProperties>
</file>

<file path=docProps/custom.xml><?xml version="1.0" encoding="utf-8"?>
<Properties xmlns="http://schemas.openxmlformats.org/officeDocument/2006/custom-properties" xmlns:vt="http://schemas.openxmlformats.org/officeDocument/2006/docPropsVTypes"/>
</file>