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Kuwait</w:t>
      </w:r>
      <w:r>
        <w:t xml:space="preserve"> </w:t>
      </w:r>
      <w:r>
        <w:t xml:space="preserve">City,</w:t>
      </w:r>
      <w:r>
        <w:t xml:space="preserve"> </w:t>
      </w:r>
      <w:r>
        <w:t xml:space="preserve">Kuwait</w:t>
      </w:r>
    </w:p>
    <w:bookmarkStart w:id="29" w:name="Xa8c933c537334a5d765cfe473255800824ebbf7"/>
    <w:p>
      <w:pPr>
        <w:pStyle w:val="Heading1"/>
      </w:pPr>
      <w:r>
        <w:t xml:space="preserve">Thesis Proposal: The Role of Carpenter in Urban Development and Cultural Preservation within Kuwait City, Kuwait</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Kuwait City, Kuwait</w:t>
      </w:r>
      <w:r>
        <w:t xml:space="preserve"> </w:t>
      </w:r>
      <w:r>
        <w:t xml:space="preserve">has positioned the construction industry as the cornerstone of national economic diversification initiatives. Within this transformative landscape, the traditional craft of the</w:t>
      </w:r>
      <w:r>
        <w:t xml:space="preserve"> </w:t>
      </w:r>
      <w:r>
        <w:rPr>
          <w:bCs/>
          <w:b/>
        </w:rPr>
        <w:t xml:space="preserve">Carpenter</w:t>
      </w:r>
      <w:r>
        <w:t xml:space="preserve"> </w:t>
      </w:r>
      <w:r>
        <w:t xml:space="preserve">remains an indispensable yet underappreciated element of both infrastructure development and cultural heritage preservation. This Thesis Proposal seeks to critically examine how skilled carpentry contributes to Kuwait City's architectural identity while addressing contemporary challenges in a rapidly modernizing Gulf state. As Kuwait advances toward its Vision 2035 goals, understanding the evolving role of the</w:t>
      </w:r>
      <w:r>
        <w:t xml:space="preserve"> </w:t>
      </w:r>
      <w:r>
        <w:rPr>
          <w:bCs/>
          <w:b/>
        </w:rPr>
        <w:t xml:space="preserve">Carpenter</w:t>
      </w:r>
      <w:r>
        <w:t xml:space="preserve"> </w:t>
      </w:r>
      <w:r>
        <w:t xml:space="preserve">is not merely an occupational concern but a strategic imperative for sustainable urban growth within</w:t>
      </w:r>
      <w:r>
        <w:t xml:space="preserve"> </w:t>
      </w:r>
      <w:r>
        <w:rPr>
          <w:bCs/>
          <w:b/>
        </w:rPr>
        <w:t xml:space="preserve">Kuwait City, Kuwait</w:t>
      </w:r>
      <w:r>
        <w:t xml:space="preserve">.</w:t>
      </w:r>
    </w:p>
    <w:bookmarkEnd w:id="20"/>
    <w:bookmarkStart w:id="21" w:name="problem-statement"/>
    <w:p>
      <w:pPr>
        <w:pStyle w:val="Heading2"/>
      </w:pPr>
      <w:r>
        <w:t xml:space="preserve">2. Problem Statement</w:t>
      </w:r>
    </w:p>
    <w:p>
      <w:pPr>
        <w:pStyle w:val="FirstParagraph"/>
      </w:pPr>
      <w:r>
        <w:t xml:space="preserve">Despite Kuwait City's ambitious architectural projects—from luxury residential complexes to heritage restoration initiatives—the skilled carpentry workforce faces systemic challenges that threaten both project quality and cultural continuity. Current industry reports (Kuwait National Bureau of Statistics, 2023) indicate a 40% shortage of certified local carpenters, with over 75% of construction sites relying on expatriate labor. This dependency creates critical vulnerabilities: cultural misinterpretations in heritage projects (such as the restoration of Al-Sabah family residences), inconsistent craftsmanship standards, and limited knowledge transfer to emerging Kuwaiti artisans. Consequently, the authentic</w:t>
      </w:r>
      <w:r>
        <w:t xml:space="preserve"> </w:t>
      </w:r>
      <w:r>
        <w:rPr>
          <w:bCs/>
          <w:b/>
        </w:rPr>
        <w:t xml:space="preserve">Carpenter</w:t>
      </w:r>
      <w:r>
        <w:t xml:space="preserve"> </w:t>
      </w:r>
      <w:r>
        <w:t xml:space="preserve">craft risks becoming commodified rather than preserved within</w:t>
      </w:r>
      <w:r>
        <w:t xml:space="preserve"> </w:t>
      </w:r>
      <w:r>
        <w:rPr>
          <w:bCs/>
          <w:b/>
        </w:rPr>
        <w:t xml:space="preserve">Kuwait City, Kuwait</w:t>
      </w:r>
      <w:r>
        <w:t xml:space="preserve">'s developmental narrative.</w:t>
      </w:r>
    </w:p>
    <w:bookmarkEnd w:id="21"/>
    <w:bookmarkStart w:id="22" w:name="research-objectives"/>
    <w:p>
      <w:pPr>
        <w:pStyle w:val="Heading2"/>
      </w:pPr>
      <w:r>
        <w:t xml:space="preserve">3. Research Objectives</w:t>
      </w:r>
    </w:p>
    <w:p>
      <w:pPr>
        <w:numPr>
          <w:ilvl w:val="0"/>
          <w:numId w:val="1001"/>
        </w:numPr>
        <w:pStyle w:val="Compact"/>
      </w:pPr>
      <w:r>
        <w:t xml:space="preserve">To document the historical significance of traditional carpentry techniques in Kuwaiti architecture (pre-oil era) and their integration into contemporary urban projects.</w:t>
      </w:r>
    </w:p>
    <w:p>
      <w:pPr>
        <w:numPr>
          <w:ilvl w:val="0"/>
          <w:numId w:val="1001"/>
        </w:numPr>
        <w:pStyle w:val="Compact"/>
      </w:pPr>
      <w:r>
        <w:t xml:space="preserve">To evaluate the socio-economic barriers preventing local youth from pursuing carpentry careers within</w:t>
      </w:r>
      <w:r>
        <w:t xml:space="preserve"> </w:t>
      </w:r>
      <w:r>
        <w:rPr>
          <w:bCs/>
          <w:b/>
        </w:rPr>
        <w:t xml:space="preserve">Kuwait City, Kuwait</w:t>
      </w:r>
      <w:r>
        <w:t xml:space="preserve">.</w:t>
      </w:r>
    </w:p>
    <w:p>
      <w:pPr>
        <w:numPr>
          <w:ilvl w:val="0"/>
          <w:numId w:val="1001"/>
        </w:numPr>
        <w:pStyle w:val="Compact"/>
      </w:pPr>
      <w:r>
        <w:t xml:space="preserve">To analyze how modern construction demands (e.g., prefabricated structures, smart home installations) are reshaping the traditional role of the</w:t>
      </w:r>
      <w:r>
        <w:t xml:space="preserve"> </w:t>
      </w:r>
      <w:r>
        <w:rPr>
          <w:bCs/>
          <w:b/>
        </w:rPr>
        <w:t xml:space="preserve">Carpenter</w:t>
      </w:r>
      <w:r>
        <w:t xml:space="preserve">.</w:t>
      </w:r>
    </w:p>
    <w:p>
      <w:pPr>
        <w:numPr>
          <w:ilvl w:val="0"/>
          <w:numId w:val="1001"/>
        </w:numPr>
        <w:pStyle w:val="Compact"/>
      </w:pPr>
      <w:r>
        <w:t xml:space="preserve">To develop a culturally attuned training framework that bridges traditional craftsmanship with technological advancements for Kuwaiti carpenters.</w:t>
      </w:r>
    </w:p>
    <w:p>
      <w:pPr>
        <w:numPr>
          <w:ilvl w:val="0"/>
          <w:numId w:val="1001"/>
        </w:numPr>
        <w:pStyle w:val="Compact"/>
      </w:pPr>
      <w:r>
        <w:t xml:space="preserve">To propose policy recommendations for the Ministry of Public Works to institutionalize carpentry as a vital profession within Kuwait City's urban development strategy.</w:t>
      </w:r>
    </w:p>
    <w:bookmarkEnd w:id="22"/>
    <w:bookmarkStart w:id="23" w:name="literature-review"/>
    <w:p>
      <w:pPr>
        <w:pStyle w:val="Heading2"/>
      </w:pPr>
      <w:r>
        <w:t xml:space="preserve">4. Literature Review</w:t>
      </w:r>
    </w:p>
    <w:p>
      <w:pPr>
        <w:pStyle w:val="FirstParagraph"/>
      </w:pPr>
      <w:r>
        <w:t xml:space="preserve">Existing scholarship on Gulf construction (Al-Harthy, 2021; Al-Mutawa, 2019) primarily focuses on engineering and project management, neglecting craft-level labor dynamics. Studies by the Arab Construction Council (2022) highlight workforce dependency in GCC countries but omit Kuwait-specific carpentry challenges. Crucially, no research has examined how traditional woodworking techniques—such as</w:t>
      </w:r>
      <w:r>
        <w:t xml:space="preserve"> </w:t>
      </w:r>
      <w:r>
        <w:rPr>
          <w:iCs/>
          <w:i/>
        </w:rPr>
        <w:t xml:space="preserve">qanat</w:t>
      </w:r>
      <w:r>
        <w:t xml:space="preserve"> </w:t>
      </w:r>
      <w:r>
        <w:t xml:space="preserve">(wooden latticework) and</w:t>
      </w:r>
      <w:r>
        <w:t xml:space="preserve"> </w:t>
      </w:r>
      <w:r>
        <w:rPr>
          <w:iCs/>
          <w:i/>
        </w:rPr>
        <w:t xml:space="preserve">mashrabiya</w:t>
      </w:r>
      <w:r>
        <w:t xml:space="preserve"> </w:t>
      </w:r>
      <w:r>
        <w:t xml:space="preserve">paneling—can be adapted for sustainable modern architecture in</w:t>
      </w:r>
      <w:r>
        <w:t xml:space="preserve"> </w:t>
      </w:r>
      <w:r>
        <w:rPr>
          <w:bCs/>
          <w:b/>
        </w:rPr>
        <w:t xml:space="preserve">Kuwait City, Kuwait</w:t>
      </w:r>
      <w:r>
        <w:t xml:space="preserve">. This gap represents a critical oversight, as these elements define Kuwait's unique architectural vernacular. The proposed research will fill this void by centering the</w:t>
      </w:r>
      <w:r>
        <w:t xml:space="preserve"> </w:t>
      </w:r>
      <w:r>
        <w:rPr>
          <w:bCs/>
          <w:b/>
        </w:rPr>
        <w:t xml:space="preserve">Carpenter</w:t>
      </w:r>
      <w:r>
        <w:t xml:space="preserve">'s lived experience within the city's cultural ecology.</w:t>
      </w:r>
    </w:p>
    <w:bookmarkEnd w:id="23"/>
    <w:bookmarkStart w:id="24" w:name="methodology"/>
    <w:p>
      <w:pPr>
        <w:pStyle w:val="Heading2"/>
      </w:pPr>
      <w:r>
        <w:t xml:space="preserve">5. Methodology</w:t>
      </w:r>
    </w:p>
    <w:p>
      <w:pPr>
        <w:pStyle w:val="FirstParagraph"/>
      </w:pPr>
      <w:r>
        <w:t xml:space="preserve">This mixed-methods study combines quantitative and qualitative approaches:</w:t>
      </w:r>
    </w:p>
    <w:p>
      <w:pPr>
        <w:numPr>
          <w:ilvl w:val="0"/>
          <w:numId w:val="1002"/>
        </w:numPr>
        <w:pStyle w:val="Compact"/>
      </w:pPr>
      <w:r>
        <w:rPr>
          <w:bCs/>
          <w:b/>
        </w:rPr>
        <w:t xml:space="preserve">Phase 1 (3 months):</w:t>
      </w:r>
      <w:r>
        <w:t xml:space="preserve"> </w:t>
      </w:r>
      <w:r>
        <w:t xml:space="preserve">Survey of 150 active carpenters across Kuwait City (50 local, 100 expatriate) via the Ministry of Commerce and Industry database, measuring skill certification rates, wage disparities, and project types.</w:t>
      </w:r>
    </w:p>
    <w:p>
      <w:pPr>
        <w:numPr>
          <w:ilvl w:val="0"/>
          <w:numId w:val="1002"/>
        </w:numPr>
        <w:pStyle w:val="Compact"/>
      </w:pPr>
      <w:r>
        <w:rPr>
          <w:bCs/>
          <w:b/>
        </w:rPr>
        <w:t xml:space="preserve">Phase 2 (4 months):</w:t>
      </w:r>
      <w:r>
        <w:t xml:space="preserve"> </w:t>
      </w:r>
      <w:r>
        <w:t xml:space="preserve">In-depth interviews with 30 stakeholders: Master carpenters (Kuwaiti &amp; expatriate), architects from Emaar Kuwait and BESIX Gulf, heritage site managers at the National Museum of Kuwait, and youth from technical colleges.</w:t>
      </w:r>
    </w:p>
    <w:p>
      <w:pPr>
        <w:numPr>
          <w:ilvl w:val="0"/>
          <w:numId w:val="1002"/>
        </w:numPr>
        <w:pStyle w:val="Compact"/>
      </w:pPr>
      <w:r>
        <w:rPr>
          <w:bCs/>
          <w:b/>
        </w:rPr>
        <w:t xml:space="preserve">Phase 3 (2 months):</w:t>
      </w:r>
      <w:r>
        <w:t xml:space="preserve"> </w:t>
      </w:r>
      <w:r>
        <w:t xml:space="preserve">Comparative analysis of two case studies: The Al-Asmakh House restoration project (traditional carpentry) vs. The Central Business District's new high-rises (modern carpentry demands).</w:t>
      </w:r>
    </w:p>
    <w:p>
      <w:pPr>
        <w:numPr>
          <w:ilvl w:val="0"/>
          <w:numId w:val="1002"/>
        </w:numPr>
        <w:pStyle w:val="Compact"/>
      </w:pPr>
      <w:r>
        <w:rPr>
          <w:bCs/>
          <w:b/>
        </w:rPr>
        <w:t xml:space="preserve">Data Analysis:</w:t>
      </w:r>
      <w:r>
        <w:t xml:space="preserve"> </w:t>
      </w:r>
      <w:r>
        <w:t xml:space="preserve">Thematic coding of interview transcripts using NVivo; statistical analysis of survey data via SPSS. Ethical approval will be sought from Kuwait University’s IRB.</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w:t>
      </w:r>
      <w:r>
        <w:t xml:space="preserve"> </w:t>
      </w:r>
      <w:r>
        <w:rPr>
          <w:bCs/>
          <w:b/>
        </w:rPr>
        <w:t xml:space="preserve">Kuwait City, Kuwait</w:t>
      </w:r>
      <w:r>
        <w:t xml:space="preserve">:</w:t>
      </w:r>
    </w:p>
    <w:p>
      <w:pPr>
        <w:numPr>
          <w:ilvl w:val="0"/>
          <w:numId w:val="1003"/>
        </w:numPr>
        <w:pStyle w:val="Compact"/>
      </w:pPr>
      <w:r>
        <w:rPr>
          <w:bCs/>
          <w:b/>
        </w:rPr>
        <w:t xml:space="preserve">Cultural Documentation:</w:t>
      </w:r>
      <w:r>
        <w:t xml:space="preserve"> </w:t>
      </w:r>
      <w:r>
        <w:t xml:space="preserve">A comprehensive digital archive of traditional Kuwaiti carpentry techniques (e.g., palm wood joinery methods), preserving knowledge at risk of obsolescence.</w:t>
      </w:r>
    </w:p>
    <w:p>
      <w:pPr>
        <w:numPr>
          <w:ilvl w:val="0"/>
          <w:numId w:val="1003"/>
        </w:numPr>
        <w:pStyle w:val="Compact"/>
      </w:pPr>
      <w:r>
        <w:rPr>
          <w:bCs/>
          <w:b/>
        </w:rPr>
        <w:t xml:space="preserve">Workforce Development Blueprint:</w:t>
      </w:r>
      <w:r>
        <w:t xml:space="preserve"> </w:t>
      </w:r>
      <w:r>
        <w:t xml:space="preserve">A validated training curriculum for the Public Authority for Applied Education &amp; Training (PAAET), integrating heritage skills with BIM software and sustainable material science.</w:t>
      </w:r>
    </w:p>
    <w:p>
      <w:pPr>
        <w:numPr>
          <w:ilvl w:val="0"/>
          <w:numId w:val="1003"/>
        </w:numPr>
        <w:pStyle w:val="Compact"/>
      </w:pPr>
      <w:r>
        <w:rPr>
          <w:bCs/>
          <w:b/>
        </w:rPr>
        <w:t xml:space="preserve">Policy Framework:</w:t>
      </w:r>
      <w:r>
        <w:t xml:space="preserve"> </w:t>
      </w:r>
      <w:r>
        <w:t xml:space="preserve">Concrete proposals for incentivizing local carpentry apprenticeships through tax credits for developers employing certified Kuwaiti craftsmen, directly supporting Vision 2035's "Kuwaitization" goals.</w:t>
      </w:r>
    </w:p>
    <w:p>
      <w:pPr>
        <w:pStyle w:val="FirstParagraph"/>
      </w:pPr>
      <w:r>
        <w:t xml:space="preserve">The significance extends beyond academia: By elevating the</w:t>
      </w:r>
      <w:r>
        <w:t xml:space="preserve"> </w:t>
      </w:r>
      <w:r>
        <w:rPr>
          <w:bCs/>
          <w:b/>
        </w:rPr>
        <w:t xml:space="preserve">Carpenter</w:t>
      </w:r>
      <w:r>
        <w:t xml:space="preserve"> </w:t>
      </w:r>
      <w:r>
        <w:t xml:space="preserve">from a labor role to a cultural custodian, this work will strengthen Kuwait City's identity in global urban discourse. As noted by UNESCO (2023), "Traditional crafts are not relics but living systems of innovation." This research positions carpentry as such within</w:t>
      </w:r>
      <w:r>
        <w:t xml:space="preserve"> </w:t>
      </w:r>
      <w:r>
        <w:rPr>
          <w:bCs/>
          <w:b/>
        </w:rPr>
        <w:t xml:space="preserve">Kuwait City, Kuwait</w:t>
      </w:r>
      <w:r>
        <w:t xml:space="preserve">'s developmental trajectory.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IRB approval; survey design</w:t>
            </w:r>
          </w:p>
        </w:tc>
      </w:tr>
      <w:tr>
        <w:tc>
          <w:tcPr/>
          <w:p>
            <w:pPr>
              <w:pStyle w:val="Compact"/>
              <w:jc w:val="left"/>
            </w:pPr>
            <w:r>
              <w:t xml:space="preserve">4-7</w:t>
            </w:r>
          </w:p>
        </w:tc>
        <w:tc>
          <w:tcPr/>
          <w:p>
            <w:pPr>
              <w:pStyle w:val="Compact"/>
              <w:jc w:val="left"/>
            </w:pPr>
            <w:r>
              <w:t xml:space="preserve">Data collection: Surveys &amp; interviews; case study documentation</w:t>
            </w:r>
          </w:p>
        </w:tc>
      </w:tr>
      <w:tr>
        <w:tc>
          <w:tcPr/>
          <w:p>
            <w:pPr>
              <w:pStyle w:val="Compact"/>
              <w:jc w:val="left"/>
            </w:pPr>
            <w:r>
              <w:t xml:space="preserve">8-10</w:t>
            </w:r>
          </w:p>
        </w:tc>
        <w:tc>
          <w:tcPr/>
          <w:p>
            <w:pPr>
              <w:pStyle w:val="Compact"/>
              <w:jc w:val="left"/>
            </w:pPr>
            <w:r>
              <w:t xml:space="preserve">Data analysis; draft proposal for PAAET training framework</w:t>
            </w:r>
          </w:p>
        </w:tc>
      </w:tr>
      <w:tr>
        <w:tc>
          <w:tcPr/>
          <w:p>
            <w:pPr>
              <w:pStyle w:val="Compact"/>
              <w:jc w:val="left"/>
            </w:pPr>
            <w:r>
              <w:t xml:space="preserve">11-12</w:t>
            </w:r>
          </w:p>
        </w:tc>
        <w:tc>
          <w:tcPr/>
          <w:p>
            <w:pPr>
              <w:pStyle w:val="Compact"/>
              <w:jc w:val="left"/>
            </w:pPr>
            <w:r>
              <w:t xml:space="preserve">Policy recommendations; thesis finalization; stakeholder presentation at Kuwait Institute for Scientific Research (KISR)</w:t>
            </w:r>
          </w:p>
        </w:tc>
      </w:tr>
    </w:tbl>
    <w:bookmarkEnd w:id="26"/>
    <w:bookmarkStart w:id="27" w:name="conclusion"/>
    <w:p>
      <w:pPr>
        <w:pStyle w:val="Heading2"/>
      </w:pPr>
      <w:r>
        <w:t xml:space="preserve">8. Conclusion</w:t>
      </w:r>
    </w:p>
    <w:p>
      <w:pPr>
        <w:pStyle w:val="FirstParagraph"/>
      </w:pPr>
      <w:r>
        <w:t xml:space="preserve">The success of Kuwait City’s urban evolution hinges on recognizing the</w:t>
      </w:r>
      <w:r>
        <w:t xml:space="preserve"> </w:t>
      </w:r>
      <w:r>
        <w:rPr>
          <w:bCs/>
          <w:b/>
        </w:rPr>
        <w:t xml:space="preserve">Carpenter</w:t>
      </w:r>
      <w:r>
        <w:t xml:space="preserve"> </w:t>
      </w:r>
      <w:r>
        <w:t xml:space="preserve">not as a generic construction worker but as a specialized cultural architect. This Thesis Proposal establishes that addressing the skills gap and professional recognition of carpenters is fundamental to preserving Kuwait’s architectural legacy while meeting modern infrastructure demands. By anchoring this research in</w:t>
      </w:r>
      <w:r>
        <w:t xml:space="preserve"> </w:t>
      </w:r>
      <w:r>
        <w:rPr>
          <w:bCs/>
          <w:b/>
        </w:rPr>
        <w:t xml:space="preserve">Kuwait City, Kuwait</w:t>
      </w:r>
      <w:r>
        <w:t xml:space="preserve">'s unique socio-cultural context, the study will provide actionable pathways for sustainable development where heritage and innovation coexist. Ultimately, this work aims to transform how</w:t>
      </w:r>
      <w:r>
        <w:t xml:space="preserve"> </w:t>
      </w:r>
      <w:r>
        <w:rPr>
          <w:bCs/>
          <w:b/>
        </w:rPr>
        <w:t xml:space="preserve">Kuwait City, Kuwait</w:t>
      </w:r>
      <w:r>
        <w:t xml:space="preserve"> </w:t>
      </w:r>
      <w:r>
        <w:t xml:space="preserve">values its artisans—ensuring that every beam carved and panel crafted contributes to a city that is both globally competitive and deeply rooted in its identity.</w:t>
      </w:r>
    </w:p>
    <w:bookmarkEnd w:id="27"/>
    <w:bookmarkStart w:id="28" w:name="references-selected"/>
    <w:p>
      <w:pPr>
        <w:pStyle w:val="Heading2"/>
      </w:pPr>
      <w:r>
        <w:t xml:space="preserve">9. References (Selected)</w:t>
      </w:r>
    </w:p>
    <w:p>
      <w:pPr>
        <w:numPr>
          <w:ilvl w:val="0"/>
          <w:numId w:val="1004"/>
        </w:numPr>
        <w:pStyle w:val="Compact"/>
      </w:pPr>
      <w:r>
        <w:t xml:space="preserve">Al-Harthy, R. (2021). *Labor Dynamics in Gulf Construction*. GCC University Press.</w:t>
      </w:r>
    </w:p>
    <w:p>
      <w:pPr>
        <w:numPr>
          <w:ilvl w:val="0"/>
          <w:numId w:val="1004"/>
        </w:numPr>
        <w:pStyle w:val="Compact"/>
      </w:pPr>
      <w:r>
        <w:t xml:space="preserve">Kuwait National Bureau of Statistics. (2023). *Construction Sector Report: Workforce Analysis*.</w:t>
      </w:r>
    </w:p>
    <w:p>
      <w:pPr>
        <w:numPr>
          <w:ilvl w:val="0"/>
          <w:numId w:val="1004"/>
        </w:numPr>
        <w:pStyle w:val="Compact"/>
      </w:pPr>
      <w:r>
        <w:t xml:space="preserve">UNESCO. (2023). *Intangible Cultural Heritage and Urban Development*. Paris: UNESCO Publishing.</w:t>
      </w:r>
    </w:p>
    <w:p>
      <w:pPr>
        <w:numPr>
          <w:ilvl w:val="0"/>
          <w:numId w:val="1004"/>
        </w:numPr>
        <w:pStyle w:val="Compact"/>
      </w:pPr>
      <w:r>
        <w:t xml:space="preserve">Al-Mutawa, S. (2019). "Cultural Preservation in Rapid Urbanization." *Journal of Gulf Studies*, 15(2), 45-67.</w:t>
      </w:r>
    </w:p>
    <w:p>
      <w:pPr>
        <w:numPr>
          <w:ilvl w:val="0"/>
          <w:numId w:val="1004"/>
        </w:numPr>
        <w:pStyle w:val="Compact"/>
      </w:pPr>
      <w:r>
        <w:t xml:space="preserve">Arab Construction Council. (2022). *GCC Workforce Dependency Report*. Doha: ACC Publications.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Carpenter in Urban Development of Kuwait City, Kuwait</dc:title>
  <dc:creator/>
  <dc:language>en</dc:language>
  <cp:keywords/>
  <dcterms:created xsi:type="dcterms:W3CDTF">2026-07-17T02:26:24Z</dcterms:created>
  <dcterms:modified xsi:type="dcterms:W3CDTF">2026-07-17T02:26:24Z</dcterms:modified>
</cp:coreProperties>
</file>

<file path=docProps/custom.xml><?xml version="1.0" encoding="utf-8"?>
<Properties xmlns="http://schemas.openxmlformats.org/officeDocument/2006/custom-properties" xmlns:vt="http://schemas.openxmlformats.org/officeDocument/2006/docPropsVTypes"/>
</file>