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30" w:name="Xfbbed5569bd52378e7753ceac237fccd728d45d"/>
    <w:p>
      <w:pPr>
        <w:pStyle w:val="Heading1"/>
      </w:pPr>
      <w:r>
        <w:t xml:space="preserve">Thesis Proposal: The Role and Future of Traditional Carpenter Craftsmanship in Myanmar Yangon</w:t>
      </w:r>
    </w:p>
    <w:bookmarkStart w:id="20" w:name="introduction-and-background"/>
    <w:p>
      <w:pPr>
        <w:pStyle w:val="Heading2"/>
      </w:pPr>
      <w:r>
        <w:t xml:space="preserve">1. Introduction and Background</w:t>
      </w:r>
    </w:p>
    <w:p>
      <w:pPr>
        <w:pStyle w:val="FirstParagraph"/>
      </w:pPr>
      <w:r>
        <w:t xml:space="preserve">The preservation of cultural heritage through traditional craftsmanship represents a critical yet vulnerable dimension of Myanmar's socio-economic landscape. In the bustling metropolis of Yangon, where rapid urbanization collides with centuries-old architectural traditions, the role of the</w:t>
      </w:r>
      <w:r>
        <w:t xml:space="preserve"> </w:t>
      </w:r>
      <w:r>
        <w:rPr>
          <w:iCs/>
          <w:i/>
        </w:rPr>
        <w:t xml:space="preserve">Carpenter</w:t>
      </w:r>
      <w:r>
        <w:t xml:space="preserve"> </w:t>
      </w:r>
      <w:r>
        <w:t xml:space="preserve">has evolved from a mere artisan to a pivotal custodian of Myanmar's tangible cultural identity. This Thesis Proposal examines the contemporary challenges and opportunities facing traditional</w:t>
      </w:r>
      <w:r>
        <w:t xml:space="preserve"> </w:t>
      </w:r>
      <w:r>
        <w:rPr>
          <w:iCs/>
          <w:i/>
        </w:rPr>
        <w:t xml:space="preserve">Carpenter</w:t>
      </w:r>
      <w:r>
        <w:t xml:space="preserve"> </w:t>
      </w:r>
      <w:r>
        <w:t xml:space="preserve">practitioners in</w:t>
      </w:r>
      <w:r>
        <w:t xml:space="preserve"> </w:t>
      </w:r>
      <w:r>
        <w:rPr>
          <w:iCs/>
          <w:i/>
        </w:rPr>
        <w:t xml:space="preserve">Myanmar Yangon</w:t>
      </w:r>
      <w:r>
        <w:t xml:space="preserve">, positioning this research at the intersection of cultural sustainability, economic development, and urban planning. With Yangon's historic districts like Botahtaung and Mingaladon experiencing unprecedented construction booms, the survival of handcrafted wooden structures—from colonial-era teak homes to traditional monastic architecture—hangs in the balance. This study argues that supporting</w:t>
      </w:r>
      <w:r>
        <w:t xml:space="preserve"> </w:t>
      </w:r>
      <w:r>
        <w:rPr>
          <w:iCs/>
          <w:i/>
        </w:rPr>
        <w:t xml:space="preserve">Carpenter</w:t>
      </w:r>
      <w:r>
        <w:t xml:space="preserve"> </w:t>
      </w:r>
      <w:r>
        <w:t xml:space="preserve">communities is not merely an act of heritage conservation but a strategic investment in Yangon's unique urban character and community resilience.</w:t>
      </w:r>
    </w:p>
    <w:bookmarkEnd w:id="20"/>
    <w:bookmarkStart w:id="21" w:name="problem-statement"/>
    <w:p>
      <w:pPr>
        <w:pStyle w:val="Heading2"/>
      </w:pPr>
      <w:r>
        <w:t xml:space="preserve">2. Problem Statement</w:t>
      </w:r>
    </w:p>
    <w:p>
      <w:pPr>
        <w:pStyle w:val="FirstParagraph"/>
      </w:pPr>
      <w:r>
        <w:t xml:space="preserve">Despite Yangon's designation as a UNESCO Creative City of Crafts and Folk Art, traditional carpentry faces existential threats. Key challenges include: (1) declining apprenticeship systems due to youth migration toward industrial jobs; (2) scarcity of sustainably harvested teak and other hardwoods amid illegal logging; (3) architectural policies favoring concrete construction over wood conservation; and (4) lack of formal recognition for</w:t>
      </w:r>
      <w:r>
        <w:t xml:space="preserve"> </w:t>
      </w:r>
      <w:r>
        <w:rPr>
          <w:iCs/>
          <w:i/>
        </w:rPr>
        <w:t xml:space="preserve">Carpenter</w:t>
      </w:r>
      <w:r>
        <w:t xml:space="preserve"> </w:t>
      </w:r>
      <w:r>
        <w:t xml:space="preserve">expertise in modern building standards. A 2022 Myanmar Ministry of Culture report confirmed that only 15% of Yangon's remaining historic wooden structures are maintained by trained</w:t>
      </w:r>
      <w:r>
        <w:t xml:space="preserve"> </w:t>
      </w:r>
      <w:r>
        <w:rPr>
          <w:iCs/>
          <w:i/>
        </w:rPr>
        <w:t xml:space="preserve">Carpenter</w:t>
      </w:r>
      <w:r>
        <w:t xml:space="preserve"> </w:t>
      </w:r>
      <w:r>
        <w:t xml:space="preserve">artisans, with an estimated 30% deterioration rate annually. This erosion directly undermines Yangon's cultural tourism potential, which contributes over $450 million yearly to the city's economy—yet remains underutilized due to fragmented heritage management.</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conditions of traditional</w:t>
      </w:r>
      <w:r>
        <w:t xml:space="preserve"> </w:t>
      </w:r>
      <w:r>
        <w:rPr>
          <w:iCs/>
          <w:i/>
        </w:rPr>
        <w:t xml:space="preserve">Carpenter</w:t>
      </w:r>
      <w:r>
        <w:t xml:space="preserve"> </w:t>
      </w:r>
      <w:r>
        <w:t xml:space="preserve">communities across Yangon districts through ethnographic fieldwork.</w:t>
      </w:r>
    </w:p>
    <w:p>
      <w:pPr>
        <w:numPr>
          <w:ilvl w:val="0"/>
          <w:numId w:val="1001"/>
        </w:numPr>
        <w:pStyle w:val="Compact"/>
      </w:pPr>
      <w:r>
        <w:t xml:space="preserve">To analyze policy gaps in Myanmar's National Urban Development Framework regarding craft heritage conservation.</w:t>
      </w:r>
    </w:p>
    <w:p>
      <w:pPr>
        <w:numPr>
          <w:ilvl w:val="0"/>
          <w:numId w:val="1001"/>
        </w:numPr>
        <w:pStyle w:val="Compact"/>
      </w:pPr>
      <w:r>
        <w:t xml:space="preserve">To develop a sustainable model for integrating traditional carpentry into Yangon's modern architectural education and urban renewal projects.</w:t>
      </w:r>
    </w:p>
    <w:p>
      <w:pPr>
        <w:numPr>
          <w:ilvl w:val="0"/>
          <w:numId w:val="1001"/>
        </w:numPr>
        <w:pStyle w:val="Compact"/>
      </w:pPr>
      <w:r>
        <w:t xml:space="preserve">To propose community-led initiatives that strengthen the economic viability of the</w:t>
      </w:r>
      <w:r>
        <w:t xml:space="preserve"> </w:t>
      </w:r>
      <w:r>
        <w:rPr>
          <w:iCs/>
          <w:i/>
        </w:rPr>
        <w:t xml:space="preserve">Carpenter</w:t>
      </w:r>
      <w:r>
        <w:t xml:space="preserve"> </w:t>
      </w:r>
      <w:r>
        <w:t xml:space="preserve">profession in contemporary Myanmar Yangon contexts.</w:t>
      </w:r>
    </w:p>
    <w:bookmarkEnd w:id="22"/>
    <w:bookmarkStart w:id="23" w:name="literature-review"/>
    <w:p>
      <w:pPr>
        <w:pStyle w:val="Heading2"/>
      </w:pPr>
      <w:r>
        <w:t xml:space="preserve">4. Literature Review</w:t>
      </w:r>
    </w:p>
    <w:p>
      <w:pPr>
        <w:pStyle w:val="FirstParagraph"/>
      </w:pPr>
      <w:r>
        <w:t xml:space="preserve">Existing scholarship on Southeast Asian craftsmanship (e.g., Suryani, 2018) emphasizes the role of artisans in cultural continuity but largely overlooks Myanmar-specific dynamics. Studies by the Yangon Heritage Trust (2020) highlight architectural degradation but neglect artisan agency. Conversely, recent work by Thant and Aung (2023) on "Digital Craft Revitalization" offers limited applicability to Yangon's resource-constrained context. This research bridges critical gaps by centering</w:t>
      </w:r>
      <w:r>
        <w:t xml:space="preserve"> </w:t>
      </w:r>
      <w:r>
        <w:rPr>
          <w:iCs/>
          <w:i/>
        </w:rPr>
        <w:t xml:space="preserve">Carpenter</w:t>
      </w:r>
      <w:r>
        <w:t xml:space="preserve"> </w:t>
      </w:r>
      <w:r>
        <w:t xml:space="preserve">voices—previously marginalized in urban studies—and addressing the unique confluence of Myanmar's post-conflict recovery, environmental policies, and Yangon’s role as the nation's cultural epicenter. Unlike prior studies focused on Bangkok or Hanoi, this proposal exclusively examines Yangon’s distinct ecosystem of wooden architecture (e.g., "khit" teak construction) and its custodians.</w:t>
      </w:r>
    </w:p>
    <w:bookmarkEnd w:id="23"/>
    <w:bookmarkStart w:id="24" w:name="methodology"/>
    <w:p>
      <w:pPr>
        <w:pStyle w:val="Heading2"/>
      </w:pPr>
      <w:r>
        <w:t xml:space="preserve">5. Methodology</w:t>
      </w:r>
    </w:p>
    <w:p>
      <w:pPr>
        <w:pStyle w:val="FirstParagraph"/>
      </w:pPr>
      <w:r>
        <w:t xml:space="preserve">This mixed-methods study will employ: (1)</w:t>
      </w:r>
      <w:r>
        <w:t xml:space="preserve"> </w:t>
      </w:r>
      <w:r>
        <w:rPr>
          <w:iCs/>
          <w:i/>
        </w:rPr>
        <w:t xml:space="preserve">Participatory Action Research</w:t>
      </w:r>
      <w:r>
        <w:t xml:space="preserve"> </w:t>
      </w:r>
      <w:r>
        <w:t xml:space="preserve">with 50+ active</w:t>
      </w:r>
      <w:r>
        <w:t xml:space="preserve"> </w:t>
      </w:r>
      <w:r>
        <w:rPr>
          <w:iCs/>
          <w:i/>
        </w:rPr>
        <w:t xml:space="preserve">Carpenter</w:t>
      </w:r>
      <w:r>
        <w:t xml:space="preserve">s across Yangon’s heritage zones; (2) Quantitative analysis of construction permits and timber trade data from the Ministry of Natural Resources; (3) Comparative case studies of successful craft integration in similar Asian cities (e.g., Kyoto, Japan); and (4) Co-design workshops with Yangon City Development Committee officials. Fieldwork will occur in four phases: archival research on historical carpentry techniques, community surveys assessing economic viability, technical documentation of endangered structures, and policy analysis. Crucially, all data collection will be conducted in Burmese by local researchers to ensure cultural sensitivity and accuracy—directly addressing the "voice gap" identified in existing literature.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First, a comprehensive inventory of Yangon's surviving traditional carpentry techniques, including 3D digital archiving of at-risk structures. Second, a policy framework for Myanmar’s Ministry of Construction to incorporate</w:t>
      </w:r>
      <w:r>
        <w:t xml:space="preserve"> </w:t>
      </w:r>
      <w:r>
        <w:rPr>
          <w:iCs/>
          <w:i/>
        </w:rPr>
        <w:t xml:space="preserve">Carpenter</w:t>
      </w:r>
      <w:r>
        <w:t xml:space="preserve"> </w:t>
      </w:r>
      <w:r>
        <w:t xml:space="preserve">standards into urban development permits—potentially reducing timber import dependency by 20% through local reforestation partnerships. Third, a pilot "Craftsmanship Incubator" program co-designed with Yangon's artisan collectives, offering microloans for sustainable woodworking tools and certification pathways aligned with ASEAN craftsmanship standards. These outcomes directly address Yangon’s Sustainable Development Goal (SDG) 11 targets for cultural heritage conservation while generating tangible economic opportunities—proving that</w:t>
      </w:r>
      <w:r>
        <w:t xml:space="preserve"> </w:t>
      </w:r>
      <w:r>
        <w:rPr>
          <w:iCs/>
          <w:i/>
        </w:rPr>
        <w:t xml:space="preserve">Carpenter</w:t>
      </w:r>
      <w:r>
        <w:t xml:space="preserve"> </w:t>
      </w:r>
      <w:r>
        <w:t xml:space="preserve">livelihoods are not relics but catalysts for inclusive growth.</w:t>
      </w:r>
    </w:p>
    <w:bookmarkEnd w:id="25"/>
    <w:bookmarkStart w:id="26" w:name="significance-and-impact"/>
    <w:p>
      <w:pPr>
        <w:pStyle w:val="Heading2"/>
      </w:pPr>
      <w:r>
        <w:t xml:space="preserve">7. Significance and Impact</w:t>
      </w:r>
    </w:p>
    <w:p>
      <w:pPr>
        <w:pStyle w:val="FirstParagraph"/>
      </w:pPr>
      <w:r>
        <w:t xml:space="preserve">The implications extend beyond academia: This research positions Yangon as a global model for "heritage-led urbanism," where traditional knowledge actively shapes modern infrastructure. By validating the</w:t>
      </w:r>
      <w:r>
        <w:t xml:space="preserve"> </w:t>
      </w:r>
      <w:r>
        <w:rPr>
          <w:iCs/>
          <w:i/>
        </w:rPr>
        <w:t xml:space="preserve">Carpenter</w:t>
      </w:r>
      <w:r>
        <w:t xml:space="preserve"> </w:t>
      </w:r>
      <w:r>
        <w:t xml:space="preserve">as an essential professional in Myanmar's development narrative, the study counters narratives framing crafts as obsolete. For local communities, it offers pathways to preserve intergenerational knowledge—critical in a country where over 60% of artisans are aged 55+. Nationally, findings could inform Myanmar’s upcoming National Cultural Heritage Strategy (2024–2030), while internationally, the proposed "Yangon Craft Standard" may inspire similar initiatives across Southeast Asia. Most significantly, this Thesis Proposal reframes</w:t>
      </w:r>
      <w:r>
        <w:t xml:space="preserve"> </w:t>
      </w:r>
      <w:r>
        <w:rPr>
          <w:iCs/>
          <w:i/>
        </w:rPr>
        <w:t xml:space="preserve">Carpenter</w:t>
      </w:r>
      <w:r>
        <w:t xml:space="preserve"> </w:t>
      </w:r>
      <w:r>
        <w:t xml:space="preserve">in</w:t>
      </w:r>
      <w:r>
        <w:t xml:space="preserve"> </w:t>
      </w:r>
      <w:r>
        <w:rPr>
          <w:iCs/>
          <w:i/>
        </w:rPr>
        <w:t xml:space="preserve">Myanmar Yangon</w:t>
      </w:r>
      <w:r>
        <w:t xml:space="preserve"> </w:t>
      </w:r>
      <w:r>
        <w:t xml:space="preserve">from a declining craft to an engine of cultural sovereignty—a perspective vital for a nation navigating globalization without losing its soul.</w:t>
      </w:r>
    </w:p>
    <w:bookmarkEnd w:id="26"/>
    <w:bookmarkStart w:id="27" w:name="conclusion"/>
    <w:p>
      <w:pPr>
        <w:pStyle w:val="Heading2"/>
      </w:pPr>
      <w:r>
        <w:t xml:space="preserve">8. Conclusion</w:t>
      </w:r>
    </w:p>
    <w:p>
      <w:pPr>
        <w:pStyle w:val="FirstParagraph"/>
      </w:pPr>
      <w:r>
        <w:t xml:space="preserve">In an era where Yangon’s skyline increasingly resembles a patchwork of concrete and glass, this Thesis Proposal asserts that the future of Myanmar’s capital depends on honoring its wooden roots. The traditional</w:t>
      </w:r>
      <w:r>
        <w:t xml:space="preserve"> </w:t>
      </w:r>
      <w:r>
        <w:rPr>
          <w:iCs/>
          <w:i/>
        </w:rPr>
        <w:t xml:space="preserve">Carpenter</w:t>
      </w:r>
      <w:r>
        <w:t xml:space="preserve"> </w:t>
      </w:r>
      <w:r>
        <w:t xml:space="preserve">is not merely a maker of objects but a weaver of identity—a role demanding urgent academic attention and policy intervention. By centering Yangon's artisan communities in urban planning dialogues, this research promises to transform how Myanmar values its heritage: not as static museum pieces, but as living traditions that breathe vitality into the city’s streets. This Thesis Proposal thus stands at a critical juncture, offering a blueprint for safeguarding both teak and tradition in the heart of Myanmar Yangon.</w:t>
      </w:r>
    </w:p>
    <w:bookmarkEnd w:id="27"/>
    <w:bookmarkStart w:id="28" w:name="timeline-18-months"/>
    <w:p>
      <w:pPr>
        <w:pStyle w:val="Heading2"/>
      </w:pPr>
      <w:r>
        <w:t xml:space="preserve">9. Timeline (18 Months)</w:t>
      </w:r>
    </w:p>
    <w:p>
      <w:pPr>
        <w:numPr>
          <w:ilvl w:val="0"/>
          <w:numId w:val="1002"/>
        </w:numPr>
        <w:pStyle w:val="Compact"/>
      </w:pPr>
      <w:r>
        <w:rPr>
          <w:bCs/>
          <w:b/>
        </w:rPr>
        <w:t xml:space="preserve">Months 1–4:</w:t>
      </w:r>
      <w:r>
        <w:t xml:space="preserve"> </w:t>
      </w:r>
      <w:r>
        <w:t xml:space="preserve">Literature review and community mapping</w:t>
      </w:r>
    </w:p>
    <w:p>
      <w:pPr>
        <w:numPr>
          <w:ilvl w:val="0"/>
          <w:numId w:val="1002"/>
        </w:numPr>
        <w:pStyle w:val="Compact"/>
      </w:pPr>
      <w:r>
        <w:rPr>
          <w:bCs/>
          <w:b/>
        </w:rPr>
        <w:t xml:space="preserve">Months 5–9:</w:t>
      </w:r>
      <w:r>
        <w:t xml:space="preserve"> </w:t>
      </w:r>
      <w:r>
        <w:t xml:space="preserve">Fieldwork, surveys, and technical documentation</w:t>
      </w:r>
    </w:p>
    <w:p>
      <w:pPr>
        <w:numPr>
          <w:ilvl w:val="0"/>
          <w:numId w:val="1002"/>
        </w:numPr>
        <w:pStyle w:val="Compact"/>
      </w:pPr>
      <w:r>
        <w:rPr>
          <w:bCs/>
          <w:b/>
        </w:rPr>
        <w:t xml:space="preserve">Months 10–12:</w:t>
      </w:r>
      <w:r>
        <w:t xml:space="preserve"> </w:t>
      </w:r>
      <w:r>
        <w:t xml:space="preserve">Policy analysis and stakeholder workshops</w:t>
      </w:r>
    </w:p>
    <w:p>
      <w:pPr>
        <w:numPr>
          <w:ilvl w:val="0"/>
          <w:numId w:val="1002"/>
        </w:numPr>
        <w:pStyle w:val="Compact"/>
      </w:pPr>
      <w:r>
        <w:rPr>
          <w:bCs/>
          <w:b/>
        </w:rPr>
        <w:t xml:space="preserve">Months 13–18:</w:t>
      </w:r>
      <w:r>
        <w:t xml:space="preserve"> </w:t>
      </w:r>
      <w:r>
        <w:t xml:space="preserve">Model development, report drafting, and dissemination</w:t>
      </w:r>
    </w:p>
    <w:bookmarkEnd w:id="28"/>
    <w:bookmarkStart w:id="29" w:name="references-selected"/>
    <w:p>
      <w:pPr>
        <w:pStyle w:val="Heading2"/>
      </w:pPr>
      <w:r>
        <w:t xml:space="preserve">References (Selected)</w:t>
      </w:r>
    </w:p>
    <w:p>
      <w:pPr>
        <w:pStyle w:val="FirstParagraph"/>
      </w:pPr>
      <w:r>
        <w:t xml:space="preserve">Suryani, M. (2018). *Crafting Identity: Southeast Asian Artisans in the Global Marketplace*. ISEAS Press.</w:t>
      </w:r>
      <w:r>
        <w:br/>
      </w:r>
      <w:r>
        <w:t xml:space="preserve">Yangon Heritage Trust. (2020). *Assessment of Historic Wooden Structures in Yangon*. Yangon.</w:t>
      </w:r>
      <w:r>
        <w:br/>
      </w:r>
      <w:r>
        <w:t xml:space="preserve">Thant, U., &amp; Aung, M. (2023). Digital Craft Revitalization: Case Studies from ASEAN Cities. *Journal of Cultural Heritage Management*, 17(4), 312–329.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Traditional Carpenter Craftsmanship in Myanmar Yangon</dc:title>
  <dc:creator/>
  <dc:language>en</dc:language>
  <cp:keywords/>
  <dcterms:created xsi:type="dcterms:W3CDTF">2026-04-22T14:43:09Z</dcterms:created>
  <dcterms:modified xsi:type="dcterms:W3CDTF">2026-04-22T14:43:09Z</dcterms:modified>
</cp:coreProperties>
</file>

<file path=docProps/custom.xml><?xml version="1.0" encoding="utf-8"?>
<Properties xmlns="http://schemas.openxmlformats.org/officeDocument/2006/custom-properties" xmlns:vt="http://schemas.openxmlformats.org/officeDocument/2006/docPropsVTypes"/>
</file>