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Modern</w:t>
      </w:r>
      <w:r>
        <w:t xml:space="preserve"> </w:t>
      </w:r>
      <w:r>
        <w:t xml:space="preserve">Construction</w:t>
      </w:r>
      <w:r>
        <w:t xml:space="preserve"> </w:t>
      </w:r>
      <w:r>
        <w:t xml:space="preserve">Practices</w:t>
      </w:r>
      <w:r>
        <w:t xml:space="preserve"> </w:t>
      </w:r>
      <w:r>
        <w:t xml:space="preserve">of</w:t>
      </w:r>
      <w:r>
        <w:t xml:space="preserve"> </w:t>
      </w:r>
      <w:r>
        <w:t xml:space="preserve">Philippines</w:t>
      </w:r>
      <w:r>
        <w:t xml:space="preserve"> </w:t>
      </w:r>
      <w:r>
        <w:t xml:space="preserve">Manila</w:t>
      </w:r>
    </w:p>
    <w:bookmarkStart w:id="29" w:name="X29ba28e9ed9b80f8123d2a6a9f0f4158689c506"/>
    <w:p>
      <w:pPr>
        <w:pStyle w:val="Heading1"/>
      </w:pPr>
      <w:r>
        <w:t xml:space="preserve">Thesis Proposal: The Evolving Role of Carpenter in Modern Construction Practices of Philippines Manila</w:t>
      </w:r>
    </w:p>
    <w:bookmarkStart w:id="20" w:name="i.-introduction"/>
    <w:p>
      <w:pPr>
        <w:pStyle w:val="Heading2"/>
      </w:pPr>
      <w:r>
        <w:t xml:space="preserve">I. Introduction</w:t>
      </w:r>
    </w:p>
    <w:p>
      <w:pPr>
        <w:pStyle w:val="FirstParagraph"/>
      </w:pPr>
      <w:r>
        <w:t xml:space="preserve">The construction industry in the Philippines, particularly within the densely populated urban landscape of Manila, remains heavily reliant on skilled craftsmanship. Among these artisans, the traditional carpenter continues to play a pivotal yet often undervalued role in shaping the built environment. This thesis proposal examines the contemporary challenges and opportunities facing</w:t>
      </w:r>
      <w:r>
        <w:t xml:space="preserve"> </w:t>
      </w:r>
      <w:r>
        <w:rPr>
          <w:bCs/>
          <w:b/>
        </w:rPr>
        <w:t xml:space="preserve">Carpenter</w:t>
      </w:r>
      <w:r>
        <w:t xml:space="preserve"> </w:t>
      </w:r>
      <w:r>
        <w:t xml:space="preserve">professionals operating in</w:t>
      </w:r>
      <w:r>
        <w:t xml:space="preserve"> </w:t>
      </w:r>
      <w:r>
        <w:rPr>
          <w:bCs/>
          <w:b/>
        </w:rPr>
        <w:t xml:space="preserve">Philippines Manila</w:t>
      </w:r>
      <w:r>
        <w:t xml:space="preserve">, where rapid urbanization meets preservation of cultural heritage. With Manila's construction sector expanding at 5% annually (PSA, 2023), understanding the carpenter's adaptive strategies becomes critical for sustainable development and workforce resilience. This research directly addresses a gap in localized studies concerning skilled tradespersons navigating modern construction demands while preserving traditional techniques unique to Philippine contexts.</w:t>
      </w:r>
    </w:p>
    <w:bookmarkEnd w:id="20"/>
    <w:bookmarkStart w:id="21" w:name="ii.-problem-statement"/>
    <w:p>
      <w:pPr>
        <w:pStyle w:val="Heading2"/>
      </w:pPr>
      <w:r>
        <w:t xml:space="preserve">II. Problem Statement</w:t>
      </w:r>
    </w:p>
    <w:p>
      <w:pPr>
        <w:pStyle w:val="FirstParagraph"/>
      </w:pPr>
      <w:r>
        <w:t xml:space="preserve">Despite being essential to Manila's architectural identity—from bahay kubo-inspired structures to contemporary high-rises—carpenters face systemic challenges. A recent survey by the Department of Labor and Employment (DOLE) revealed 68% of carpenters in Metro Manila work without formal certification, leading to inconsistent quality control and safety risks. Furthermore, the influx of prefabricated building materials threatens traditional craftsmanship as younger generations pursue less physically demanding careers. This research interrogates: How do</w:t>
      </w:r>
      <w:r>
        <w:t xml:space="preserve"> </w:t>
      </w:r>
      <w:r>
        <w:rPr>
          <w:bCs/>
          <w:b/>
        </w:rPr>
        <w:t xml:space="preserve">Carpenter</w:t>
      </w:r>
      <w:r>
        <w:t xml:space="preserve"> </w:t>
      </w:r>
      <w:r>
        <w:t xml:space="preserve">professionals in</w:t>
      </w:r>
      <w:r>
        <w:t xml:space="preserve"> </w:t>
      </w:r>
      <w:r>
        <w:rPr>
          <w:bCs/>
          <w:b/>
        </w:rPr>
        <w:t xml:space="preserve">Philippines Manila</w:t>
      </w:r>
      <w:r>
        <w:t xml:space="preserve"> </w:t>
      </w:r>
      <w:r>
        <w:t xml:space="preserve">adapt their skills to maintain relevance amid technological shifts while upholding cultural construction practices? Without addressing this, Manila risks losing irreplaceable artisanal knowledge integral to its architectural heritage and community resilience during natural disasters.</w:t>
      </w:r>
    </w:p>
    <w:bookmarkEnd w:id="21"/>
    <w:bookmarkStart w:id="22" w:name="iii.-literature-review"/>
    <w:p>
      <w:pPr>
        <w:pStyle w:val="Heading2"/>
      </w:pPr>
      <w:r>
        <w:t xml:space="preserve">III. Literature Review</w:t>
      </w:r>
    </w:p>
    <w:p>
      <w:pPr>
        <w:pStyle w:val="FirstParagraph"/>
      </w:pPr>
      <w:r>
        <w:t xml:space="preserve">Existing scholarship primarily focuses on large-scale construction management in Southeast Asia (e.g., Lim, 2019; Tan, 2021), with minimal attention to individual tradespeople. Studies by the Philippine Institute of Architects (PIA) acknowledge carpentry's historical significance but overlook current socioeconomic pressures. International frameworks like ILO's "Building Skills for Sustainable Construction" (2022) emphasize digital upskilling but lack Manila-specific implementation strategies. This thesis bridges this gap by centering</w:t>
      </w:r>
      <w:r>
        <w:t xml:space="preserve"> </w:t>
      </w:r>
      <w:r>
        <w:rPr>
          <w:bCs/>
          <w:b/>
        </w:rPr>
        <w:t xml:space="preserve">Carpenter</w:t>
      </w:r>
      <w:r>
        <w:t xml:space="preserve"> </w:t>
      </w:r>
      <w:r>
        <w:t xml:space="preserve">perspectives within</w:t>
      </w:r>
      <w:r>
        <w:t xml:space="preserve"> </w:t>
      </w:r>
      <w:r>
        <w:rPr>
          <w:bCs/>
          <w:b/>
        </w:rPr>
        <w:t xml:space="preserve">Philippines Manila</w:t>
      </w:r>
      <w:r>
        <w:t xml:space="preserve">'s unique socio-economic ecosystem—where informal labor markets, typhoon resilience needs, and cultural identity intersect.</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document current skill sets, tools, and workflow challenges of carpenters operating in Manila construction sites.</w:t>
      </w:r>
    </w:p>
    <w:p>
      <w:pPr>
        <w:numPr>
          <w:ilvl w:val="0"/>
          <w:numId w:val="1001"/>
        </w:numPr>
        <w:pStyle w:val="Compact"/>
      </w:pPr>
      <w:r>
        <w:t xml:space="preserve">To analyze how technological adoption (e.g., CNC machinery, BIM software) affects traditional carpentry practices in Manila.</w:t>
      </w:r>
    </w:p>
    <w:p>
      <w:pPr>
        <w:numPr>
          <w:ilvl w:val="0"/>
          <w:numId w:val="1001"/>
        </w:numPr>
        <w:pStyle w:val="Compact"/>
      </w:pPr>
      <w:r>
        <w:t xml:space="preserve">To evaluate the socio-economic impact of certification programs on carpenter employment and income stability in Metro Manila.</w:t>
      </w:r>
    </w:p>
    <w:p>
      <w:pPr>
        <w:numPr>
          <w:ilvl w:val="0"/>
          <w:numId w:val="1001"/>
        </w:numPr>
        <w:pStyle w:val="Compact"/>
      </w:pPr>
      <w:r>
        <w:t xml:space="preserve">How can modern construction demands be reconciled with preserving indigenous Philippine woodworking techniques?</w:t>
      </w:r>
    </w:p>
    <w:bookmarkEnd w:id="23"/>
    <w:bookmarkStart w:id="24" w:name="v.-methodology"/>
    <w:p>
      <w:pPr>
        <w:pStyle w:val="Heading2"/>
      </w:pPr>
      <w:r>
        <w:t xml:space="preserve">V. Methodology</w:t>
      </w:r>
    </w:p>
    <w:p>
      <w:pPr>
        <w:pStyle w:val="FirstParagraph"/>
      </w:pPr>
      <w:r>
        <w:t xml:space="preserve">This mixed-methods study combines quantitative surveys with qualitative ethnography, designed specifically for the Manila context:</w:t>
      </w:r>
    </w:p>
    <w:p>
      <w:pPr>
        <w:numPr>
          <w:ilvl w:val="0"/>
          <w:numId w:val="1002"/>
        </w:numPr>
        <w:pStyle w:val="Compact"/>
      </w:pPr>
      <w:r>
        <w:rPr>
          <w:bCs/>
          <w:b/>
        </w:rPr>
        <w:t xml:space="preserve">Phase 1 (Quantitative):</w:t>
      </w:r>
      <w:r>
        <w:t xml:space="preserve"> </w:t>
      </w:r>
      <w:r>
        <w:t xml:space="preserve">Online and in-person surveys targeting 300 registered carpenters across 8 Manila districts (via DOLE partnerships), measuring tool usage, income volatility, and technology exposure.</w:t>
      </w:r>
    </w:p>
    <w:p>
      <w:pPr>
        <w:numPr>
          <w:ilvl w:val="0"/>
          <w:numId w:val="1002"/>
        </w:numPr>
        <w:pStyle w:val="Compact"/>
      </w:pPr>
      <w:r>
        <w:rPr>
          <w:bCs/>
          <w:b/>
        </w:rPr>
        <w:t xml:space="preserve">Phase 2 (Qualitative):</w:t>
      </w:r>
      <w:r>
        <w:t xml:space="preserve"> </w:t>
      </w:r>
      <w:r>
        <w:t xml:space="preserve">In-depth interviews with 25 master carpenters from diverse backgrounds (e.g., heritage house restorations, high-rise residential projects) and participant observation at 4 active Manila construction sites.</w:t>
      </w:r>
    </w:p>
    <w:p>
      <w:pPr>
        <w:numPr>
          <w:ilvl w:val="0"/>
          <w:numId w:val="1002"/>
        </w:numPr>
        <w:pStyle w:val="Compact"/>
      </w:pPr>
      <w:r>
        <w:rPr>
          <w:bCs/>
          <w:b/>
        </w:rPr>
        <w:t xml:space="preserve">Data Analysis:</w:t>
      </w:r>
      <w:r>
        <w:t xml:space="preserve"> </w:t>
      </w:r>
      <w:r>
        <w:t xml:space="preserve">Thematic analysis of interview transcripts using NVivo, combined with SPSS for survey statistics. Triangulation will cross-verify findings across both data streams.</w:t>
      </w:r>
    </w:p>
    <w:p>
      <w:pPr>
        <w:numPr>
          <w:ilvl w:val="0"/>
          <w:numId w:val="1002"/>
        </w:numPr>
        <w:pStyle w:val="Compact"/>
      </w:pPr>
      <w:r>
        <w:rPr>
          <w:bCs/>
          <w:b/>
        </w:rPr>
        <w:t xml:space="preserve">Ethical Considerations:</w:t>
      </w:r>
      <w:r>
        <w:t xml:space="preserve"> </w:t>
      </w:r>
      <w:r>
        <w:t xml:space="preserve">Informed consent protocols aligned with CHSE Ethics Guidelines; compensation for participants through local trade unions (e.g., PNP Carpenters' Association).</w:t>
      </w:r>
    </w:p>
    <w:bookmarkEnd w:id="24"/>
    <w:bookmarkStart w:id="25" w:name="vi.-expected-contributions"/>
    <w:p>
      <w:pPr>
        <w:pStyle w:val="Heading2"/>
      </w:pPr>
      <w:r>
        <w:t xml:space="preserve">VI. Expected Contributions</w:t>
      </w:r>
    </w:p>
    <w:p>
      <w:pPr>
        <w:pStyle w:val="FirstParagraph"/>
      </w:pPr>
      <w:r>
        <w:t xml:space="preserve">This research promises actionable outcomes for</w:t>
      </w:r>
      <w:r>
        <w:t xml:space="preserve"> </w:t>
      </w:r>
      <w:r>
        <w:rPr>
          <w:bCs/>
          <w:b/>
        </w:rPr>
        <w:t xml:space="preserve">Philippines Manila</w:t>
      </w:r>
      <w:r>
        <w:t xml:space="preserve">'s construction ecosystem:</w:t>
      </w:r>
    </w:p>
    <w:p>
      <w:pPr>
        <w:numPr>
          <w:ilvl w:val="0"/>
          <w:numId w:val="1003"/>
        </w:numPr>
        <w:pStyle w:val="Compact"/>
      </w:pPr>
      <w:r>
        <w:rPr>
          <w:bCs/>
          <w:b/>
        </w:rPr>
        <w:t xml:space="preserve">Policymakers:</w:t>
      </w:r>
      <w:r>
        <w:t xml:space="preserve"> </w:t>
      </w:r>
      <w:r>
        <w:t xml:space="preserve">Evidence to advocate for government-supported carpentry certification pathways and inclusion in the "Build Back Better" post-disaster reconstruction framework.</w:t>
      </w:r>
    </w:p>
    <w:p>
      <w:pPr>
        <w:numPr>
          <w:ilvl w:val="0"/>
          <w:numId w:val="1003"/>
        </w:numPr>
        <w:pStyle w:val="Compact"/>
      </w:pPr>
      <w:r>
        <w:rPr>
          <w:bCs/>
          <w:b/>
        </w:rPr>
        <w:t xml:space="preserve">Educational Institutions:</w:t>
      </w:r>
      <w:r>
        <w:t xml:space="preserve"> </w:t>
      </w:r>
      <w:r>
        <w:t xml:space="preserve">Curriculum design recommendations for TESDA (Technical Education and Skills Development Authority) to integrate digital tools with traditional techniques (e.g., using CAD for ancestral house designs).</w:t>
      </w:r>
    </w:p>
    <w:p>
      <w:pPr>
        <w:numPr>
          <w:ilvl w:val="0"/>
          <w:numId w:val="1003"/>
        </w:numPr>
        <w:pStyle w:val="Compact"/>
      </w:pPr>
      <w:r>
        <w:rPr>
          <w:bCs/>
          <w:b/>
        </w:rPr>
        <w:t xml:space="preserve">Industry Stakeholders:</w:t>
      </w:r>
      <w:r>
        <w:t xml:space="preserve"> </w:t>
      </w:r>
      <w:r>
        <w:t xml:space="preserve">A practical framework for construction firms to leverage carpenters' cultural knowledge in sustainable projects—e.g., incorporating salvaged wood from heritage structures into new developments.</w:t>
      </w:r>
    </w:p>
    <w:p>
      <w:pPr>
        <w:numPr>
          <w:ilvl w:val="0"/>
          <w:numId w:val="1003"/>
        </w:numPr>
        <w:pStyle w:val="Compact"/>
      </w:pPr>
      <w:r>
        <w:rPr>
          <w:bCs/>
          <w:b/>
        </w:rPr>
        <w:t xml:space="preserve">Cultural Preservation:</w:t>
      </w:r>
      <w:r>
        <w:t xml:space="preserve"> </w:t>
      </w:r>
      <w:r>
        <w:t xml:space="preserve">Documentation of vanishing techniques (e.g., "tukid" jointing, bamboo scaffolding) through multimedia archives accessible via Manila-based community centers.</w:t>
      </w:r>
    </w:p>
    <w:bookmarkEnd w:id="25"/>
    <w:bookmarkStart w:id="26" w:name="Xeddfe006ad366939cea3f86cf8ef0c4edf718c3"/>
    <w:p>
      <w:pPr>
        <w:pStyle w:val="Heading2"/>
      </w:pPr>
      <w:r>
        <w:t xml:space="preserve">VII. Significance in the Philippine Context</w:t>
      </w:r>
    </w:p>
    <w:p>
      <w:pPr>
        <w:pStyle w:val="FirstParagraph"/>
      </w:pPr>
      <w:r>
        <w:t xml:space="preserve">In a nation where construction employs 8.7% of the workforce (World Bank, 2023), this study directly supports national priorities like "Build, Build, Build" by humanizing infrastructure development. Manila’s unique challenges—flooding-prone areas requiring adaptive framing techniques, historical districts mandating traditional materials—demand carpenter-centric solutions. By elevating</w:t>
      </w:r>
      <w:r>
        <w:t xml:space="preserve"> </w:t>
      </w:r>
      <w:r>
        <w:rPr>
          <w:bCs/>
          <w:b/>
        </w:rPr>
        <w:t xml:space="preserve">Carpenter</w:t>
      </w:r>
      <w:r>
        <w:t xml:space="preserve"> </w:t>
      </w:r>
      <w:r>
        <w:t xml:space="preserve">as knowledge-keepers rather than mere laborers, this thesis challenges the misconception that manual skills are obsolete in a "digital age." It affirms that sustainable urbanization in</w:t>
      </w:r>
      <w:r>
        <w:t xml:space="preserve"> </w:t>
      </w:r>
      <w:r>
        <w:rPr>
          <w:bCs/>
          <w:b/>
        </w:rPr>
        <w:t xml:space="preserve">Philippines Manila</w:t>
      </w:r>
      <w:r>
        <w:t xml:space="preserve"> </w:t>
      </w:r>
      <w:r>
        <w:t xml:space="preserve">cannot be achieved without investing in the craftsperson who shapes its physical soul.</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survey design (Manila fieldwork permits)</w:t>
            </w:r>
          </w:p>
        </w:tc>
      </w:tr>
      <w:tr>
        <w:tc>
          <w:tcPr/>
          <w:p>
            <w:pPr>
              <w:pStyle w:val="Compact"/>
              <w:jc w:val="left"/>
            </w:pPr>
            <w:r>
              <w:t xml:space="preserve">4-6</w:t>
            </w:r>
          </w:p>
        </w:tc>
        <w:tc>
          <w:tcPr/>
          <w:p>
            <w:pPr>
              <w:pStyle w:val="Compact"/>
              <w:jc w:val="left"/>
            </w:pPr>
            <w:r>
              <w:t xml:space="preserve">Data collection: Surveys + Interviews across 8 districts</w:t>
            </w:r>
          </w:p>
        </w:tc>
      </w:tr>
      <w:tr>
        <w:tc>
          <w:tcPr/>
          <w:p>
            <w:pPr>
              <w:pStyle w:val="Compact"/>
              <w:jc w:val="left"/>
            </w:pPr>
            <w:r>
              <w:t xml:space="preserve">7-9</w:t>
            </w:r>
          </w:p>
        </w:tc>
        <w:tc>
          <w:tcPr/>
          <w:p>
            <w:pPr>
              <w:pStyle w:val="Compact"/>
              <w:jc w:val="left"/>
            </w:pPr>
            <w:r>
              <w:t xml:space="preserve">Thematic analysis &amp; draft framework development</w:t>
            </w:r>
          </w:p>
        </w:tc>
      </w:tr>
      <w:tr>
        <w:tc>
          <w:tcPr/>
          <w:p>
            <w:pPr>
              <w:pStyle w:val="Compact"/>
              <w:jc w:val="left"/>
            </w:pPr>
            <w:r>
              <w:t xml:space="preserve">10-12</w:t>
            </w:r>
          </w:p>
        </w:tc>
        <w:tc>
          <w:tcPr/>
          <w:p>
            <w:pPr>
              <w:pStyle w:val="Compact"/>
              <w:jc w:val="left"/>
            </w:pPr>
            <w:r>
              <w:t xml:space="preserve">Policy recommendations + Thesis finalization</w:t>
            </w:r>
          </w:p>
        </w:tc>
      </w:tr>
    </w:tbl>
    <w:bookmarkEnd w:id="27"/>
    <w:bookmarkStart w:id="28" w:name="ix.-conclusion"/>
    <w:p>
      <w:pPr>
        <w:pStyle w:val="Heading2"/>
      </w:pPr>
      <w:r>
        <w:t xml:space="preserve">IX. Conclusion</w:t>
      </w:r>
    </w:p>
    <w:p>
      <w:pPr>
        <w:pStyle w:val="FirstParagraph"/>
      </w:pPr>
      <w:r>
        <w:t xml:space="preserve">This thesis proposal positions the Filipino carpenter not as a relic of the past, but as a vital agent in Manila's future urban fabric. In an era where skyscrapers rise alongside heritage barangays, understanding how</w:t>
      </w:r>
      <w:r>
        <w:t xml:space="preserve"> </w:t>
      </w:r>
      <w:r>
        <w:rPr>
          <w:bCs/>
          <w:b/>
        </w:rPr>
        <w:t xml:space="preserve">Carpenter</w:t>
      </w:r>
      <w:r>
        <w:t xml:space="preserve"> </w:t>
      </w:r>
      <w:r>
        <w:t xml:space="preserve">professionals navigate these dual realities is essential for inclusive development. By grounding research in Manila’s streets and workshops—from Quiapo to Quezon City—this study promises to deliver a roadmap for dignifying skilled labor while ensuring the city's construction legacy endures with both innovation and respect for its roots. The outcome will directly inform strategies that empower Manila's carpenters as architects of resilience in the heart of</w:t>
      </w:r>
      <w:r>
        <w:t xml:space="preserve"> </w:t>
      </w:r>
      <w:r>
        <w:rPr>
          <w:bCs/>
          <w:b/>
        </w:rPr>
        <w:t xml:space="preserve">Philippines Manila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Modern Construction Practices of Philippines Manila</dc:title>
  <dc:creator/>
  <dc:language>en</dc:language>
  <cp:keywords/>
  <dcterms:created xsi:type="dcterms:W3CDTF">2026-04-29T18:19:26Z</dcterms:created>
  <dcterms:modified xsi:type="dcterms:W3CDTF">2026-04-29T18:19:26Z</dcterms:modified>
</cp:coreProperties>
</file>

<file path=docProps/custom.xml><?xml version="1.0" encoding="utf-8"?>
<Properties xmlns="http://schemas.openxmlformats.org/officeDocument/2006/custom-properties" xmlns:vt="http://schemas.openxmlformats.org/officeDocument/2006/docPropsVTypes"/>
</file>