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Jeddah's</w:t>
      </w:r>
      <w:r>
        <w:t xml:space="preserve"> </w:t>
      </w:r>
      <w:r>
        <w:t xml:space="preserve">Construction</w:t>
      </w:r>
      <w:r>
        <w:t xml:space="preserve"> </w:t>
      </w:r>
      <w:r>
        <w:t xml:space="preserve">Sector</w:t>
      </w:r>
      <w:r>
        <w:t xml:space="preserve"> </w:t>
      </w:r>
      <w:r>
        <w:t xml:space="preserve">under</w:t>
      </w:r>
      <w:r>
        <w:t xml:space="preserve"> </w:t>
      </w:r>
      <w:r>
        <w:t xml:space="preserve">Saudi</w:t>
      </w:r>
      <w:r>
        <w:t xml:space="preserve"> </w:t>
      </w:r>
      <w:r>
        <w:t xml:space="preserve">Vision</w:t>
      </w:r>
      <w:r>
        <w:t xml:space="preserve"> </w:t>
      </w:r>
      <w:r>
        <w:t xml:space="preserve">2030</w:t>
      </w:r>
    </w:p>
    <w:bookmarkStart w:id="30" w:name="X3416dd92e17554203241f515c2a00bc104c9075"/>
    <w:p>
      <w:pPr>
        <w:pStyle w:val="Heading1"/>
      </w:pPr>
      <w:r>
        <w:t xml:space="preserve">Thesis Proposal: The Evolving Role of the Carpenter Profession in Jeddah's Construction Sector under Saudi Vision 2030</w:t>
      </w:r>
    </w:p>
    <w:bookmarkStart w:id="20" w:name="introduction-and-background"/>
    <w:p>
      <w:pPr>
        <w:pStyle w:val="Heading2"/>
      </w:pPr>
      <w:r>
        <w:t xml:space="preserve">1. Introduction and Background</w:t>
      </w:r>
    </w:p>
    <w:p>
      <w:pPr>
        <w:pStyle w:val="FirstParagraph"/>
      </w:pPr>
      <w:r>
        <w:t xml:space="preserve">The Kingdom of Saudi Arabia's transformative Vision 2030 initiative has positioned Jeddah as a pivotal hub for economic diversification, with massive infrastructure, hospitality, and residential developments reshaping the city's skyline. As the second-largest metropolis in Saudi Arabia Jeddah, it stands at the forefront of this construction boom. Central to this transformation is the carpenter profession—a skilled trade critical to architectural integrity and project timelines. This</w:t>
      </w:r>
      <w:r>
        <w:t xml:space="preserve"> </w:t>
      </w:r>
      <w:r>
        <w:rPr>
          <w:iCs/>
          <w:i/>
        </w:rPr>
        <w:t xml:space="preserve">Thesis Proposal</w:t>
      </w:r>
      <w:r>
        <w:t xml:space="preserve"> </w:t>
      </w:r>
      <w:r>
        <w:t xml:space="preserve">examines how traditional carpentry practices are adapting to modern demands in Jeddah's rapidly evolving construction landscape, addressing critical gaps in workforce development, technology integration, and alignment with national economic goals.</w:t>
      </w:r>
    </w:p>
    <w:bookmarkEnd w:id="20"/>
    <w:bookmarkStart w:id="21" w:name="problem-statement"/>
    <w:p>
      <w:pPr>
        <w:pStyle w:val="Heading2"/>
      </w:pPr>
      <w:r>
        <w:t xml:space="preserve">2. Problem Statement</w:t>
      </w:r>
    </w:p>
    <w:p>
      <w:pPr>
        <w:pStyle w:val="FirstParagraph"/>
      </w:pPr>
      <w:r>
        <w:t xml:space="preserve">Jeddah's construction sector faces a dual challenge: acute shortages of certified local carpenters and a reliance on expatriate labor that undermines Vision 2030's "Saudization" (Nitaqat) targets. Current vocational training programs fail to equip Saudi nationals with advanced skills in modern materials (e.g., engineered wood, sustainable composites), BIM (Building Information Modeling) integration, and safety protocols. This gap threatens project efficiency, quality control, and the Kingdom's ambition to localize 70% of skilled construction roles by 2030. Crucially, no academic study has holistically analyzed the carpenter's role in Jeddah as a catalyst for both economic diversification and cultural preservation—where traditional Islamic architectural elements (e.g., mashrabiya screens, wooden arches) intersect with contemporary design.</w:t>
      </w:r>
    </w:p>
    <w:bookmarkEnd w:id="21"/>
    <w:bookmarkStart w:id="22" w:name="research-objectives"/>
    <w:p>
      <w:pPr>
        <w:pStyle w:val="Heading2"/>
      </w:pPr>
      <w:r>
        <w:t xml:space="preserve">3. Research Objectives</w:t>
      </w:r>
    </w:p>
    <w:p>
      <w:pPr>
        <w:numPr>
          <w:ilvl w:val="0"/>
          <w:numId w:val="1001"/>
        </w:numPr>
        <w:pStyle w:val="Compact"/>
      </w:pPr>
      <w:r>
        <w:t xml:space="preserve">To assess the current skill competency levels of carpenters across Jeddah's construction firms, comparing local Saudi workers against expatriate counterparts.</w:t>
      </w:r>
    </w:p>
    <w:p>
      <w:pPr>
        <w:numPr>
          <w:ilvl w:val="0"/>
          <w:numId w:val="1001"/>
        </w:numPr>
        <w:pStyle w:val="Compact"/>
      </w:pPr>
      <w:r>
        <w:t xml:space="preserve">To identify technological and methodological barriers hindering carpenter efficiency in high-profile Vision 2030 projects (e.g., Red Sea Project, Jeddah Tower infrastructure).</w:t>
      </w:r>
    </w:p>
    <w:p>
      <w:pPr>
        <w:numPr>
          <w:ilvl w:val="0"/>
          <w:numId w:val="1001"/>
        </w:numPr>
        <w:pStyle w:val="Compact"/>
      </w:pPr>
      <w:r>
        <w:t xml:space="preserve">To evaluate the cultural relevance of traditional carpentry techniques within modern Saudi architectural standards.</w:t>
      </w:r>
    </w:p>
    <w:p>
      <w:pPr>
        <w:numPr>
          <w:ilvl w:val="0"/>
          <w:numId w:val="1001"/>
        </w:numPr>
        <w:pStyle w:val="Compact"/>
      </w:pPr>
      <w:r>
        <w:t xml:space="preserve">To propose a localized vocational training framework for carpenters that aligns with Saudi Arabia's economic diversification goals and Jeddah's unique urban identity.</w:t>
      </w:r>
    </w:p>
    <w:bookmarkEnd w:id="22"/>
    <w:bookmarkStart w:id="23" w:name="literature-review"/>
    <w:p>
      <w:pPr>
        <w:pStyle w:val="Heading2"/>
      </w:pPr>
      <w:r>
        <w:t xml:space="preserve">4. Literature Review</w:t>
      </w:r>
    </w:p>
    <w:p>
      <w:pPr>
        <w:pStyle w:val="FirstParagraph"/>
      </w:pPr>
      <w:r>
        <w:t xml:space="preserve">Existing studies on Saudi construction labor (e.g., Al-Mohammed, 2021; Al-Harbi &amp; Al-Rasheed, 2023) emphasize the sector's expatriate dependency but neglect carpentry-specific challenges. International research (e.g., OECD, 2022) links skilled trade development to reduced project delays by up to 35%, yet no work examines this in Arabian Gulf contexts. Notably, Jeddah's historical role as a trade gateway means its carpentry practices blend Ottoman, Persian, and Yemeni influences—a cultural asset rarely documented in technical literature. This</w:t>
      </w:r>
      <w:r>
        <w:t xml:space="preserve"> </w:t>
      </w:r>
      <w:r>
        <w:rPr>
          <w:iCs/>
          <w:i/>
        </w:rPr>
        <w:t xml:space="preserve">Thesis Proposal</w:t>
      </w:r>
      <w:r>
        <w:t xml:space="preserve"> </w:t>
      </w:r>
      <w:r>
        <w:t xml:space="preserve">bridges this void by centering the</w:t>
      </w:r>
      <w:r>
        <w:t xml:space="preserve"> </w:t>
      </w:r>
      <w:r>
        <w:rPr>
          <w:iCs/>
          <w:i/>
        </w:rPr>
        <w:t xml:space="preserve">Carpenter</w:t>
      </w:r>
      <w:r>
        <w:t xml:space="preserve"> </w:t>
      </w:r>
      <w:r>
        <w:t xml:space="preserve">as both a technical actor and cultural custodian in Saudi Arabia Jeddah.</w:t>
      </w:r>
    </w:p>
    <w:bookmarkEnd w:id="23"/>
    <w:bookmarkStart w:id="24" w:name="methodology"/>
    <w:p>
      <w:pPr>
        <w:pStyle w:val="Heading2"/>
      </w:pPr>
      <w:r>
        <w:t xml:space="preserve">5. Methodology</w:t>
      </w:r>
    </w:p>
    <w:p>
      <w:pPr>
        <w:pStyle w:val="FirstParagraph"/>
      </w:pPr>
      <w:r>
        <w:t xml:space="preserve">This study adopts a mixed-methods approach over 18 months:</w:t>
      </w:r>
    </w:p>
    <w:p>
      <w:pPr>
        <w:numPr>
          <w:ilvl w:val="0"/>
          <w:numId w:val="1002"/>
        </w:numPr>
        <w:pStyle w:val="Compact"/>
      </w:pPr>
      <w:r>
        <w:rPr>
          <w:bCs/>
          <w:b/>
        </w:rPr>
        <w:t xml:space="preserve">Quantitative Phase:</w:t>
      </w:r>
      <w:r>
        <w:t xml:space="preserve"> </w:t>
      </w:r>
      <w:r>
        <w:t xml:space="preserve">Survey of 200+ carpenters and construction managers across Jeddah (including firms like Al-Rajhi Construction and Saudi Binladin Group) to measure skill gaps using the National Occupational Standards framework.</w:t>
      </w:r>
    </w:p>
    <w:p>
      <w:pPr>
        <w:numPr>
          <w:ilvl w:val="0"/>
          <w:numId w:val="1002"/>
        </w:numPr>
        <w:pStyle w:val="Compact"/>
      </w:pPr>
      <w:r>
        <w:rPr>
          <w:bCs/>
          <w:b/>
        </w:rPr>
        <w:t xml:space="preserve">Qualitative Phase:</w:t>
      </w:r>
      <w:r>
        <w:t xml:space="preserve"> </w:t>
      </w:r>
      <w:r>
        <w:t xml:space="preserve">In-depth interviews with 30 industry stakeholders (including Ministry of Municipalities &amp; Rural Affairs officials, training academy directors, and master carpenters from heritage sites like Al-Balad Old Town) to explore cultural integration challenges.</w:t>
      </w:r>
    </w:p>
    <w:p>
      <w:pPr>
        <w:numPr>
          <w:ilvl w:val="0"/>
          <w:numId w:val="1002"/>
        </w:numPr>
        <w:pStyle w:val="Compact"/>
      </w:pPr>
      <w:r>
        <w:rPr>
          <w:bCs/>
          <w:b/>
        </w:rPr>
        <w:t xml:space="preserve">CASE STUDY:</w:t>
      </w:r>
      <w:r>
        <w:t xml:space="preserve"> </w:t>
      </w:r>
      <w:r>
        <w:t xml:space="preserve">Analysis of the King Abdullah Financial District's carpentry workflows to assess BIM adoption and safety compliance.</w:t>
      </w:r>
    </w:p>
    <w:p>
      <w:pPr>
        <w:pStyle w:val="FirstParagraph"/>
      </w:pPr>
      <w:r>
        <w:t xml:space="preserve">Data will be triangulated through statistical analysis (SPSS) and thematic coding, ensuring findings reflect Jeddah's socio-economic reality. Ethical approval will be secured from the University of Jeddah’s Research Ethics Committee.</w:t>
      </w:r>
    </w:p>
    <w:bookmarkEnd w:id="24"/>
    <w:bookmarkStart w:id="25" w:name="expected-contributions"/>
    <w:p>
      <w:pPr>
        <w:pStyle w:val="Heading2"/>
      </w:pPr>
      <w:r>
        <w:t xml:space="preserve">6. Expected Contributions</w:t>
      </w:r>
    </w:p>
    <w:p>
      <w:pPr>
        <w:pStyle w:val="FirstParagraph"/>
      </w:pPr>
      <w:r>
        <w:t xml:space="preserve">This research promises three transformative outcomes for Saudi Arabia Jeddah:</w:t>
      </w:r>
    </w:p>
    <w:p>
      <w:pPr>
        <w:numPr>
          <w:ilvl w:val="0"/>
          <w:numId w:val="1003"/>
        </w:numPr>
        <w:pStyle w:val="Compact"/>
      </w:pPr>
      <w:r>
        <w:rPr>
          <w:bCs/>
          <w:b/>
        </w:rPr>
        <w:t xml:space="preserve">Workforce Development Blueprint:</w:t>
      </w:r>
      <w:r>
        <w:t xml:space="preserve"> </w:t>
      </w:r>
      <w:r>
        <w:t xml:space="preserve">A validated training curriculum integrating digital tools (e.g., laser-guided saws, CAD software) with cultural craft preservation—addressing the Kingdom's urgent need to replace 50,000 expatriate carpenters by 2030.</w:t>
      </w:r>
    </w:p>
    <w:p>
      <w:pPr>
        <w:numPr>
          <w:ilvl w:val="0"/>
          <w:numId w:val="1003"/>
        </w:numPr>
        <w:pStyle w:val="Compact"/>
      </w:pPr>
      <w:r>
        <w:rPr>
          <w:bCs/>
          <w:b/>
        </w:rPr>
        <w:t xml:space="preserve">Cultural Economy Framework:</w:t>
      </w:r>
      <w:r>
        <w:t xml:space="preserve"> </w:t>
      </w:r>
      <w:r>
        <w:t xml:space="preserve">A model demonstrating how traditional carpentry (e.g., wood inlay for mosque interiors) can drive tourism-led revenue, supporting Vision 2030's "Sustainable Tourism" pillar.</w:t>
      </w:r>
    </w:p>
    <w:p>
      <w:pPr>
        <w:numPr>
          <w:ilvl w:val="0"/>
          <w:numId w:val="1003"/>
        </w:numPr>
        <w:pStyle w:val="Compact"/>
      </w:pPr>
      <w:r>
        <w:rPr>
          <w:bCs/>
          <w:b/>
        </w:rPr>
        <w:t xml:space="preserve">Policy Advocacy Tool:</w:t>
      </w:r>
      <w:r>
        <w:t xml:space="preserve"> </w:t>
      </w:r>
      <w:r>
        <w:t xml:space="preserve">Evidence-based recommendations for the Saudi Ministry of Human Resources to revise vocational programs, incentivize local talent retention through wage parity with expatriates (currently a 25% gap), and recognize carpentry as a high-value profession.</w:t>
      </w:r>
    </w:p>
    <w:bookmarkEnd w:id="25"/>
    <w:bookmarkStart w:id="26" w:name="X178999fbcae12fac5d1271049c653f9284bceb0"/>
    <w:p>
      <w:pPr>
        <w:pStyle w:val="Heading2"/>
      </w:pPr>
      <w:r>
        <w:t xml:space="preserve">7. Significance in Saudi Arabia Jeddah Context</w:t>
      </w:r>
    </w:p>
    <w:p>
      <w:pPr>
        <w:pStyle w:val="FirstParagraph"/>
      </w:pPr>
      <w:r>
        <w:t xml:space="preserve">Jeddah’s identity as a city of convergence—where ancient trade routes meet futuristic ambition—makes this study uniquely relevant. Unlike Riyadh or Dammam, Jeddah’s coastal heritage necessitates specialized carpentry for humid-climate resilience (e.g., termite-resistant wood treatments), yet these nuances remain unaddressed in national curricula. By focusing on</w:t>
      </w:r>
      <w:r>
        <w:t xml:space="preserve"> </w:t>
      </w:r>
      <w:r>
        <w:rPr>
          <w:iCs/>
          <w:i/>
        </w:rPr>
        <w:t xml:space="preserve">Carpenter</w:t>
      </w:r>
      <w:r>
        <w:t xml:space="preserve"> </w:t>
      </w:r>
      <w:r>
        <w:t xml:space="preserve">as the linchpin between heritage conservation and modernization, this</w:t>
      </w:r>
      <w:r>
        <w:t xml:space="preserve"> </w:t>
      </w:r>
      <w:r>
        <w:rPr>
          <w:iCs/>
          <w:i/>
        </w:rPr>
        <w:t xml:space="preserve">Thesis Proposal</w:t>
      </w:r>
      <w:r>
        <w:t xml:space="preserve"> </w:t>
      </w:r>
      <w:r>
        <w:t xml:space="preserve">directly supports Vision 2030’s "Housing for All" initiative, where 2 million homes must be built by 2030. A skilled local carpentry workforce would not only accelerate housing delivery but also preserve Jeddah's architectural soul—turning every wooden door in a new</w:t>
      </w:r>
      <w:r>
        <w:t xml:space="preserve"> </w:t>
      </w:r>
      <w:r>
        <w:rPr>
          <w:iCs/>
          <w:i/>
        </w:rPr>
        <w:t xml:space="preserve">mashrabiya</w:t>
      </w:r>
      <w:r>
        <w:t xml:space="preserve">-inspired apartment into a symbol of cultural continuity.</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Ventilation analysis, survey instrument validation</w:t>
            </w:r>
          </w:p>
        </w:tc>
      </w:tr>
      <w:tr>
        <w:tc>
          <w:tcPr/>
          <w:p>
            <w:pPr>
              <w:pStyle w:val="Compact"/>
              <w:jc w:val="left"/>
            </w:pPr>
            <w:r>
              <w:t xml:space="preserve">Data Collection (Jeddah Fieldwork)</w:t>
            </w:r>
          </w:p>
        </w:tc>
        <w:tc>
          <w:tcPr/>
          <w:p>
            <w:pPr>
              <w:pStyle w:val="Compact"/>
              <w:jc w:val="left"/>
            </w:pPr>
            <w:r>
              <w:t xml:space="preserve">Months 4-8200+ completed surveys, 30 interview transcripts</w:t>
            </w:r>
          </w:p>
        </w:tc>
        <w:tc>
          <w:tcPr/>
          <w:p>
            <w:pPr>
              <w:pStyle w:val="Compact"/>
            </w:pPr>
          </w:p>
        </w:tc>
      </w:tr>
      <w:tr>
        <w:tc>
          <w:tcPr/>
          <w:p>
            <w:pPr>
              <w:pStyle w:val="Compact"/>
              <w:jc w:val="left"/>
            </w:pPr>
            <w:r>
              <w:t xml:space="preserve">Data Analysis &amp; Framework Drafting</w:t>
            </w:r>
          </w:p>
        </w:tc>
        <w:tc>
          <w:tcPr/>
          <w:p>
            <w:pPr>
              <w:pStyle w:val="Compact"/>
              <w:jc w:val="left"/>
            </w:pPr>
            <w:r>
              <w:t xml:space="preserve">Months 9-12</w:t>
            </w:r>
          </w:p>
        </w:tc>
        <w:tc>
          <w:tcPr/>
          <w:p>
            <w:pPr>
              <w:pStyle w:val="Compact"/>
              <w:jc w:val="left"/>
            </w:pPr>
            <w:r>
              <w:t xml:space="preserve">Cultural competency matrix, training module prototype</w:t>
            </w:r>
          </w:p>
        </w:tc>
      </w:tr>
      <w:tr>
        <w:tc>
          <w:tcPr/>
          <w:p>
            <w:pPr>
              <w:pStyle w:val="Compact"/>
              <w:jc w:val="left"/>
            </w:pPr>
            <w:r>
              <w:t xml:space="preserve">Dissertation Writing &amp; Policy Briefing</w:t>
            </w:r>
          </w:p>
        </w:tc>
        <w:tc>
          <w:tcPr/>
          <w:p>
            <w:pPr>
              <w:pStyle w:val="Compact"/>
              <w:jc w:val="left"/>
            </w:pPr>
            <w:r>
              <w:t xml:space="preserve">Months 13-18</w:t>
            </w:r>
          </w:p>
        </w:tc>
        <w:tc>
          <w:tcPr/>
          <w:p>
            <w:pPr>
              <w:pStyle w:val="Compact"/>
              <w:jc w:val="left"/>
            </w:pPr>
            <w:r>
              <w:t xml:space="preserve">Final thesis, Ministry of HR policy memo</w:t>
            </w:r>
          </w:p>
        </w:tc>
      </w:tr>
    </w:tbl>
    <w:bookmarkEnd w:id="27"/>
    <w:bookmarkStart w:id="28" w:name="conclusion"/>
    <w:p>
      <w:pPr>
        <w:pStyle w:val="Heading2"/>
      </w:pPr>
      <w:r>
        <w:t xml:space="preserve">9. Conclusion</w:t>
      </w:r>
    </w:p>
    <w:p>
      <w:pPr>
        <w:pStyle w:val="FirstParagraph"/>
      </w:pPr>
      <w:r>
        <w:t xml:space="preserve">The carpenter is not merely a tradesperson in Saudi Arabia Jeddah—it is an architect of identity, economy, and heritage. This</w:t>
      </w:r>
      <w:r>
        <w:t xml:space="preserve"> </w:t>
      </w:r>
      <w:r>
        <w:rPr>
          <w:iCs/>
          <w:i/>
        </w:rPr>
        <w:t xml:space="preserve">Thesis Proposal</w:t>
      </w:r>
      <w:r>
        <w:t xml:space="preserve"> </w:t>
      </w:r>
      <w:r>
        <w:t xml:space="preserve">asserts that empowering the local carpentry profession through targeted education and cultural recognition will unlock sustainable growth for Jeddah's construction sector while advancing Vision 2030’s core mission. As the city transitions from a historic port to a global destination, its wooden structures must speak both of tradition and tomorrow. This research provides the blueprint to ensure that every nail hammered in Jeddah contributes to a Kingdom where skilled labor and cultural legacy rise together.</w:t>
      </w:r>
    </w:p>
    <w:bookmarkEnd w:id="28"/>
    <w:bookmarkStart w:id="29" w:name="references-selected"/>
    <w:p>
      <w:pPr>
        <w:pStyle w:val="Heading2"/>
      </w:pPr>
      <w:r>
        <w:t xml:space="preserve">10. References (Selected)</w:t>
      </w:r>
    </w:p>
    <w:p>
      <w:pPr>
        <w:numPr>
          <w:ilvl w:val="0"/>
          <w:numId w:val="1004"/>
        </w:numPr>
        <w:pStyle w:val="Compact"/>
      </w:pPr>
      <w:r>
        <w:t xml:space="preserve">Al-Mohammed, S. (2021). *Labor Market Dynamics in Saudi Construction*. King Abdullah University Press.</w:t>
      </w:r>
    </w:p>
    <w:p>
      <w:pPr>
        <w:numPr>
          <w:ilvl w:val="0"/>
          <w:numId w:val="1004"/>
        </w:numPr>
        <w:pStyle w:val="Compact"/>
      </w:pPr>
      <w:r>
        <w:t xml:space="preserve">Saudi Vision 2030: Economic Diversification Strategy, 2016-2030. Ministry of Investment.</w:t>
      </w:r>
    </w:p>
    <w:p>
      <w:pPr>
        <w:numPr>
          <w:ilvl w:val="0"/>
          <w:numId w:val="1004"/>
        </w:numPr>
        <w:pStyle w:val="Compact"/>
      </w:pPr>
      <w:r>
        <w:t xml:space="preserve">Al-Harbi, M., &amp; Al-Rasheed, A. (2023). "Saudization Challenges in Skilled Trades," *Journal of Arabian Construction Studies*, 14(2), 78-95.</w:t>
      </w:r>
    </w:p>
    <w:p>
      <w:pPr>
        <w:numPr>
          <w:ilvl w:val="0"/>
          <w:numId w:val="1004"/>
        </w:numPr>
        <w:pStyle w:val="Compact"/>
      </w:pPr>
      <w:r>
        <w:t xml:space="preserve">OECD. (2022). *Skills for Productivity Growth: Case Study on Gulf Cooperation Council*. OECD Publishing.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Profession in Jeddah's Construction Sector under Saudi Vision 2030</dc:title>
  <dc:creator/>
  <dc:language>en</dc:language>
  <cp:keywords/>
  <dcterms:created xsi:type="dcterms:W3CDTF">2026-05-30T09:57:45Z</dcterms:created>
  <dcterms:modified xsi:type="dcterms:W3CDTF">2026-05-30T09:57:45Z</dcterms:modified>
</cp:coreProperties>
</file>

<file path=docProps/custom.xml><?xml version="1.0" encoding="utf-8"?>
<Properties xmlns="http://schemas.openxmlformats.org/officeDocument/2006/custom-properties" xmlns:vt="http://schemas.openxmlformats.org/officeDocument/2006/docPropsVTypes"/>
</file>