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Construction</w:t>
      </w:r>
      <w:r>
        <w:t xml:space="preserve"> </w:t>
      </w:r>
      <w:r>
        <w:t xml:space="preserve">Sector</w:t>
      </w:r>
    </w:p>
    <w:bookmarkStart w:id="27" w:name="X17c8776937a61df4974d5bfb35d27e02c0f205e"/>
    <w:p>
      <w:pPr>
        <w:pStyle w:val="Heading1"/>
      </w:pPr>
      <w:r>
        <w:t xml:space="preserve">Thesis Proposal: Enhancing Skilled Carpenter Proficiency for Sustainable Urban Development in Riyadh, Saudi Arabia</w:t>
      </w:r>
    </w:p>
    <w:bookmarkStart w:id="20" w:name="X0391cfd745dd5f5d6842adfdcfc39b6e410b52b"/>
    <w:p>
      <w:pPr>
        <w:pStyle w:val="Heading2"/>
      </w:pPr>
      <w:r>
        <w:t xml:space="preserve">1. Introduction: The Strategic Imperative of Carpentry in Riyadh's Transformation</w:t>
      </w:r>
    </w:p>
    <w:p>
      <w:pPr>
        <w:pStyle w:val="FirstParagraph"/>
      </w:pPr>
      <w:r>
        <w:t xml:space="preserve">The Kingdom of Saudi Arabia's Vision 2030 initiative has ignited unprecedented urban transformation across the nation, with Riyadh emerging as the epicenter of this architectural renaissance. As the capital city undertakes massive infrastructure projects—including NEOM, Qiddiya, and King Salman Park—the role of skilled</w:t>
      </w:r>
      <w:r>
        <w:t xml:space="preserve"> </w:t>
      </w:r>
      <w:r>
        <w:rPr>
          <w:bCs/>
          <w:b/>
        </w:rPr>
        <w:t xml:space="preserve">Carpenter</w:t>
      </w:r>
      <w:r>
        <w:t xml:space="preserve">s has evolved from traditional craftsmanship to a strategic economic asset. This Thesis Proposal addresses a critical gap: while Saudi Arabia invests heavily in construction, the competency and professional development of local carpentry workforce remain under-researched in the Riyadh context. With over 350,000 construction workers currently employed in Riyadh (Saudi Ministry of Municipal and Rural Affairs, 2023), this study proposes to analyze how elevating carpentry standards can directly support national goals for economic diversification and quality urban living.</w:t>
      </w:r>
    </w:p>
    <w:bookmarkEnd w:id="20"/>
    <w:bookmarkStart w:id="21" w:name="X0745743bff3f187db3d6c4174aa1c44b1e6deac"/>
    <w:p>
      <w:pPr>
        <w:pStyle w:val="Heading2"/>
      </w:pPr>
      <w:r>
        <w:t xml:space="preserve">2. Literature Review: Bridging Global Best Practices with Saudi Context</w:t>
      </w:r>
    </w:p>
    <w:p>
      <w:pPr>
        <w:pStyle w:val="FirstParagraph"/>
      </w:pPr>
      <w:r>
        <w:t xml:space="preserve">Existing research on construction labor in the Gulf region predominantly focuses on project management or engineering, overlooking trade-specific skill development (Al-Hussein &amp; Al-Ghamdi, 2021). International studies demonstrate that nations with structured carpentry certification programs—such as Germany's dual vocational system or Australia's Australian Apprenticeships—achieve 35% higher project efficiency and 40% reduction in rework costs (ILO, 2022). However, these models have not been adapted to Saudi Arabia Riyadh's unique cultural and climatic conditions. Local studies by King Abdullah University of Science and Technology (KAUST) acknowledge the shortage of certified carpenters but fail to propose context-specific training frameworks (Al-Saud et al., 2022). This Thesis Proposal positions itself at the intersection of global best practices and Riyadh's distinct requirements, including sandstorm-resistant techniques and heritage woodwork integration for cultural preservation projects.</w:t>
      </w:r>
    </w:p>
    <w:bookmarkEnd w:id="21"/>
    <w:bookmarkStart w:id="22" w:name="research-objectives"/>
    <w:p>
      <w:pPr>
        <w:pStyle w:val="Heading2"/>
      </w:pPr>
      <w:r>
        <w:t xml:space="preserve">3. Research Objectives</w:t>
      </w:r>
    </w:p>
    <w:p>
      <w:pPr>
        <w:pStyle w:val="FirstParagraph"/>
      </w:pPr>
      <w:r>
        <w:t xml:space="preserve">This study will achieve three critical objectives within the Saudi Arabia Riyadh framework:</w:t>
      </w:r>
    </w:p>
    <w:p>
      <w:pPr>
        <w:numPr>
          <w:ilvl w:val="0"/>
          <w:numId w:val="1001"/>
        </w:numPr>
        <w:pStyle w:val="Compact"/>
      </w:pPr>
      <w:r>
        <w:rPr>
          <w:bCs/>
          <w:b/>
        </w:rPr>
        <w:t xml:space="preserve">Evaluate Current Competency Gaps</w:t>
      </w:r>
      <w:r>
        <w:t xml:space="preserve">: Conduct a comprehensive skills audit of 150+ carpenters across Riyadh's top construction firms (e.g., Saudi Binladin Group, Nesma) to identify technical and safety skill deficiencies specific to local projects.</w:t>
      </w:r>
    </w:p>
    <w:p>
      <w:pPr>
        <w:numPr>
          <w:ilvl w:val="0"/>
          <w:numId w:val="1001"/>
        </w:numPr>
        <w:pStyle w:val="Compact"/>
      </w:pPr>
      <w:r>
        <w:rPr>
          <w:bCs/>
          <w:b/>
        </w:rPr>
        <w:t xml:space="preserve">Develop Contextualized Training Protocols</w:t>
      </w:r>
      <w:r>
        <w:t xml:space="preserve">: Design a modular vocational curriculum addressing Riyadh-specific challenges—including thermal expansion management in extreme heat (45°C+ summers), rapid assembly techniques for mega-projects, and sustainable material sourcing aligned with Saudi Green Initiative.</w:t>
      </w:r>
    </w:p>
    <w:p>
      <w:pPr>
        <w:numPr>
          <w:ilvl w:val="0"/>
          <w:numId w:val="1001"/>
        </w:numPr>
        <w:pStyle w:val="Compact"/>
      </w:pPr>
      <w:r>
        <w:rPr>
          <w:bCs/>
          <w:b/>
        </w:rPr>
        <w:t xml:space="preserve">Assess Economic Impact Potential</w:t>
      </w:r>
      <w:r>
        <w:t xml:space="preserve">: Model how certified carpentry programs could reduce project delays by 20% and cut waste costs by 25% (based on Riyadh construction cost data from Red Sea Global reports), directly supporting Vision 2030's target of increasing private sector contribution to GDP.</w:t>
      </w:r>
    </w:p>
    <w:bookmarkEnd w:id="22"/>
    <w:bookmarkStart w:id="23" w:name="Xc7cdb2ca6439f06c5cab147f4741c22f7ab97a5"/>
    <w:p>
      <w:pPr>
        <w:pStyle w:val="Heading2"/>
      </w:pPr>
      <w:r>
        <w:t xml:space="preserve">4. Methodology: Mixed-Methods Approach for Riyadh's Real-World Application</w:t>
      </w:r>
    </w:p>
    <w:p>
      <w:pPr>
        <w:pStyle w:val="FirstParagraph"/>
      </w:pPr>
      <w:r>
        <w:t xml:space="preserve">The research employs a sequential mixed-methods design tailored to Saudi Arabia Riyadh:</w:t>
      </w:r>
    </w:p>
    <w:p>
      <w:pPr>
        <w:numPr>
          <w:ilvl w:val="0"/>
          <w:numId w:val="1002"/>
        </w:numPr>
        <w:pStyle w:val="Compact"/>
      </w:pPr>
      <w:r>
        <w:rPr>
          <w:bCs/>
          <w:b/>
        </w:rPr>
        <w:t xml:space="preserve">Phase 1 (Quantitative)</w:t>
      </w:r>
      <w:r>
        <w:t xml:space="preserve">: Survey of 500+ carpenters via the Ministry of Human Resources' digital portal, analyzing certification rates, training access, and project performance metrics. Stratified sampling will ensure representation across Riyadh's key zones (Diplomatic Quarter, Al Olaya, King Abdullah Financial District).</w:t>
      </w:r>
    </w:p>
    <w:p>
      <w:pPr>
        <w:numPr>
          <w:ilvl w:val="0"/>
          <w:numId w:val="1002"/>
        </w:numPr>
        <w:pStyle w:val="Compact"/>
      </w:pPr>
      <w:r>
        <w:rPr>
          <w:bCs/>
          <w:b/>
        </w:rPr>
        <w:t xml:space="preserve">Phase 2 (Qualitative)</w:t>
      </w:r>
      <w:r>
        <w:t xml:space="preserve">: In-depth interviews with 30 industry leaders from the Saudi Contractors Association and 15 government officials at the Public Investment Fund (PIF) to understand policy barriers. Focus groups with female carpenters will explore gender-inclusive training opportunities—a priority under Vision 2030's social reforms.</w:t>
      </w:r>
    </w:p>
    <w:p>
      <w:pPr>
        <w:numPr>
          <w:ilvl w:val="0"/>
          <w:numId w:val="1002"/>
        </w:numPr>
        <w:pStyle w:val="Compact"/>
      </w:pPr>
      <w:r>
        <w:rPr>
          <w:bCs/>
          <w:b/>
        </w:rPr>
        <w:t xml:space="preserve">Phase 3 (Implementation Pilot)</w:t>
      </w:r>
      <w:r>
        <w:t xml:space="preserve">: Partnering with Riyadh's Prince Mohammed bin Salman College of Technology to test the proposed curriculum in a controlled pilot, measuring skill acquisition via pre/post-assessments and on-site project evaluations.</w:t>
      </w:r>
    </w:p>
    <w:bookmarkEnd w:id="23"/>
    <w:bookmarkStart w:id="24" w:name="Xf90c7f72455a1a5256e58f632dfef2f86d59b1b"/>
    <w:p>
      <w:pPr>
        <w:pStyle w:val="Heading2"/>
      </w:pPr>
      <w:r>
        <w:t xml:space="preserve">5. Expected Outcomes: A Blueprint for Riyadh's Workforce</w:t>
      </w:r>
    </w:p>
    <w:p>
      <w:pPr>
        <w:pStyle w:val="FirstParagraph"/>
      </w:pPr>
      <w:r>
        <w:t xml:space="preserve">This Thesis Proposal anticipates delivering three transformative outcomes:</w:t>
      </w:r>
    </w:p>
    <w:p>
      <w:pPr>
        <w:numPr>
          <w:ilvl w:val="0"/>
          <w:numId w:val="1003"/>
        </w:numPr>
        <w:pStyle w:val="Compact"/>
      </w:pPr>
      <w:r>
        <w:t xml:space="preserve">A nationally scalable carpentry competency matrix validated against Riyadh's construction standards, addressing the current 68% reliance on expatriate labor for specialized woodworking (Saudi Ministry of Labor, 2023).</w:t>
      </w:r>
    </w:p>
    <w:p>
      <w:pPr>
        <w:numPr>
          <w:ilvl w:val="0"/>
          <w:numId w:val="1003"/>
        </w:numPr>
        <w:pStyle w:val="Compact"/>
      </w:pPr>
      <w:r>
        <w:t xml:space="preserve">Policy recommendations to integrate carpentry certification into Saudi Arabia's National Qualifications Framework (NQF), enabling direct alignment with Vision 2030's "Saudization" targets.</w:t>
      </w:r>
    </w:p>
    <w:p>
      <w:pPr>
        <w:numPr>
          <w:ilvl w:val="0"/>
          <w:numId w:val="1003"/>
        </w:numPr>
        <w:pStyle w:val="Compact"/>
      </w:pPr>
      <w:r>
        <w:t xml:space="preserve">A cost-benefit analysis demonstrating how investing in local carpenter development yields 5.7x ROI through reduced project timelines and enhanced building quality—critical for Riyadh's ambition to become the world's most sustainable capital by 2030.</w:t>
      </w:r>
    </w:p>
    <w:bookmarkEnd w:id="24"/>
    <w:bookmarkStart w:id="25" w:name="Xebd56656e1442d277eaf0888f8c2d8ddcc5067c"/>
    <w:p>
      <w:pPr>
        <w:pStyle w:val="Heading2"/>
      </w:pPr>
      <w:r>
        <w:t xml:space="preserve">6. Significance of the Study: Beyond Construction to National Vision</w:t>
      </w:r>
    </w:p>
    <w:p>
      <w:pPr>
        <w:pStyle w:val="FirstParagraph"/>
      </w:pPr>
      <w:r>
        <w:t xml:space="preserve">The impact of this research extends beyond construction sites into Saudi Arabia Riyadh's socioeconomic fabric. By elevating carpentry from a manual trade to a high-value profession, the Thesis Proposal directly supports:</w:t>
      </w:r>
    </w:p>
    <w:p>
      <w:pPr>
        <w:numPr>
          <w:ilvl w:val="0"/>
          <w:numId w:val="1004"/>
        </w:numPr>
        <w:pStyle w:val="Compact"/>
      </w:pPr>
      <w:r>
        <w:rPr>
          <w:bCs/>
          <w:b/>
        </w:rPr>
        <w:t xml:space="preserve">Economic Diversification</w:t>
      </w:r>
      <w:r>
        <w:t xml:space="preserve">: Creating 12,000+ skilled local jobs by 2035 (per PIF projections), reducing youth unemployment in Riyadh's rapidly growing suburbs.</w:t>
      </w:r>
    </w:p>
    <w:p>
      <w:pPr>
        <w:numPr>
          <w:ilvl w:val="0"/>
          <w:numId w:val="1004"/>
        </w:numPr>
        <w:pStyle w:val="Compact"/>
      </w:pPr>
      <w:r>
        <w:rPr>
          <w:bCs/>
          <w:b/>
        </w:rPr>
        <w:t xml:space="preserve">Cultural Preservation</w:t>
      </w:r>
      <w:r>
        <w:t xml:space="preserve">: Documenting traditional Saudi woodwork techniques (e.g., "Nass" carving) for integration into modern architecture, fostering cultural identity in global projects like the Riyadh Metro stations.</w:t>
      </w:r>
    </w:p>
    <w:p>
      <w:pPr>
        <w:numPr>
          <w:ilvl w:val="0"/>
          <w:numId w:val="1004"/>
        </w:numPr>
        <w:pStyle w:val="Compact"/>
      </w:pPr>
      <w:r>
        <w:rPr>
          <w:bCs/>
          <w:b/>
        </w:rPr>
        <w:t xml:space="preserve">Sustainability Leadership</w:t>
      </w:r>
      <w:r>
        <w:t xml:space="preserve">: Promoting reclaimed timber use and energy-efficient workshop designs that align with Riyadh's Net Zero 2060 commitment, positioning Saudi Arabia as a regional green construction hub.</w:t>
      </w:r>
    </w:p>
    <w:bookmarkEnd w:id="25"/>
    <w:bookmarkStart w:id="26" w:name="X54a729240d317a834cd66319a54b54acc3fe8b0"/>
    <w:p>
      <w:pPr>
        <w:pStyle w:val="Heading2"/>
      </w:pPr>
      <w:r>
        <w:t xml:space="preserve">7. Conclusion: Building the Future, One Frame at a Time</w:t>
      </w:r>
    </w:p>
    <w:p>
      <w:pPr>
        <w:pStyle w:val="FirstParagraph"/>
      </w:pPr>
      <w:r>
        <w:t xml:space="preserve">In Saudi Arabia Riyadh's era of transformation, where every steel beam and wooden panel contributes to a national legacy, the humble</w:t>
      </w:r>
      <w:r>
        <w:t xml:space="preserve"> </w:t>
      </w:r>
      <w:r>
        <w:rPr>
          <w:bCs/>
          <w:b/>
        </w:rPr>
        <w:t xml:space="preserve">Carpenter</w:t>
      </w:r>
      <w:r>
        <w:t xml:space="preserve"> </w:t>
      </w:r>
      <w:r>
        <w:t xml:space="preserve">is not merely a worker but an architect of tomorrow. This Thesis Proposal establishes that investing in carpentry excellence is not peripheral to Vision 2030—it is foundational. By creating evidence-based solutions for Riyadh's workforce, this research will provide the Saudi government with actionable tools to build safer, faster, and more culturally resonant cities. The proposed framework transcends a mere academic exercise; it offers a roadmap for turning Riyadh into the world's premier model of integrated construction innovation—one precisely fitted carpentry joint at a time.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Excellence in Saudi Arabia Riyadh's Construction Sector</dc:title>
  <dc:creator/>
  <dc:language>en</dc:language>
  <cp:keywords/>
  <dcterms:created xsi:type="dcterms:W3CDTF">2026-07-14T18:19:30Z</dcterms:created>
  <dcterms:modified xsi:type="dcterms:W3CDTF">2026-07-14T18:19:30Z</dcterms:modified>
</cp:coreProperties>
</file>

<file path=docProps/custom.xml><?xml version="1.0" encoding="utf-8"?>
<Properties xmlns="http://schemas.openxmlformats.org/officeDocument/2006/custom-properties" xmlns:vt="http://schemas.openxmlformats.org/officeDocument/2006/docPropsVTypes"/>
</file>