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Preserving</w:t>
      </w:r>
      <w:r>
        <w:t xml:space="preserve"> </w:t>
      </w:r>
      <w:r>
        <w:t xml:space="preserve">Traditional</w:t>
      </w:r>
      <w:r>
        <w:t xml:space="preserve"> </w:t>
      </w:r>
      <w:r>
        <w:t xml:space="preserve">Carpenter</w:t>
      </w:r>
      <w:r>
        <w:t xml:space="preserve"> </w:t>
      </w:r>
      <w:r>
        <w:t xml:space="preserve">Craftsmanship</w:t>
      </w:r>
      <w:r>
        <w:t xml:space="preserve"> </w:t>
      </w:r>
      <w:r>
        <w:t xml:space="preserve">in</w:t>
      </w:r>
      <w:r>
        <w:t xml:space="preserve"> </w:t>
      </w:r>
      <w:r>
        <w:t xml:space="preserve">Turkey</w:t>
      </w:r>
      <w:r>
        <w:t xml:space="preserve"> </w:t>
      </w:r>
      <w:r>
        <w:t xml:space="preserve">Ankara</w:t>
      </w:r>
    </w:p>
    <w:bookmarkStart w:id="29" w:name="X288817961ec60d7c04954da30aad83939528e41"/>
    <w:p>
      <w:pPr>
        <w:pStyle w:val="Heading1"/>
      </w:pPr>
      <w:r>
        <w:t xml:space="preserve">Thesis Proposal: The Role and Future of Traditional Carpenter Craftsmanship in Urban Development of Turkey Ankara</w:t>
      </w:r>
    </w:p>
    <w:bookmarkStart w:id="20" w:name="introduction"/>
    <w:p>
      <w:pPr>
        <w:pStyle w:val="Heading2"/>
      </w:pPr>
      <w:r>
        <w:t xml:space="preserve">Introduction</w:t>
      </w:r>
    </w:p>
    <w:p>
      <w:pPr>
        <w:pStyle w:val="FirstParagraph"/>
      </w:pPr>
      <w:r>
        <w:t xml:space="preserve">The cultural and architectural heritage of Turkey Ankara is deeply intertwined with traditional craftsmanship, particularly the artistry of the carpenter. As a city undergoing rapid modernization while preserving its Ottoman and Republic-era identity, Ankara presents a unique case study for examining how time-honored woodworking traditions can coexist with contemporary urban demands. This Thesis Proposal investigates the evolving role of the</w:t>
      </w:r>
      <w:r>
        <w:t xml:space="preserve"> </w:t>
      </w:r>
      <w:r>
        <w:rPr>
          <w:iCs/>
          <w:i/>
        </w:rPr>
        <w:t xml:space="preserve">carpenter</w:t>
      </w:r>
      <w:r>
        <w:t xml:space="preserve"> </w:t>
      </w:r>
      <w:r>
        <w:t xml:space="preserve">in Turkey Ankara's built environment, addressing critical gaps in academic literature that often overlook artisanal contributions to sustainable city development. The research recognizes Ankara not merely as a political capital but as a living museum where wooden structures from historic districts like Çankaya and Kızılay narrate centuries of cultural continuity.</w:t>
      </w:r>
    </w:p>
    <w:bookmarkEnd w:id="20"/>
    <w:bookmarkStart w:id="21" w:name="problem-statement"/>
    <w:p>
      <w:pPr>
        <w:pStyle w:val="Heading2"/>
      </w:pPr>
      <w:r>
        <w:t xml:space="preserve">Problem Statement</w:t>
      </w:r>
    </w:p>
    <w:p>
      <w:pPr>
        <w:pStyle w:val="FirstParagraph"/>
      </w:pPr>
      <w:r>
        <w:t xml:space="preserve">Despite Ankara's designation as a UNESCO Creative City of Crafts and Folk Art, traditional carpentry faces existential threats. Modern construction prioritizes concrete over wood, while younger generations abandon the craft due to perceived economic instability and lack of institutional support. This erosion undermines Turkey's intangible cultural heritage and sacrifices sustainable building practices that could reduce carbon footprints in urban centers. Crucially, no comprehensive study has examined how Ankara's carpenters navigate these pressures within Turkey's specific socio-economic context—making this research both urgent and novel. Without intervention, the knowledge embedded in every wooden door, staircase, and courtyard ceiling of historic Ankara will vanish.</w:t>
      </w:r>
    </w:p>
    <w:bookmarkEnd w:id="21"/>
    <w:bookmarkStart w:id="22" w:name="research-objectives"/>
    <w:p>
      <w:pPr>
        <w:pStyle w:val="Heading2"/>
      </w:pPr>
      <w:r>
        <w:t xml:space="preserve">Research Objectives</w:t>
      </w:r>
    </w:p>
    <w:p>
      <w:pPr>
        <w:numPr>
          <w:ilvl w:val="0"/>
          <w:numId w:val="1001"/>
        </w:numPr>
        <w:pStyle w:val="Compact"/>
      </w:pPr>
      <w:r>
        <w:t xml:space="preserve">To document the current state of traditional carpentry workshops (ateliyer) across Ankara through ethnographic fieldwork</w:t>
      </w:r>
    </w:p>
    <w:p>
      <w:pPr>
        <w:numPr>
          <w:ilvl w:val="0"/>
          <w:numId w:val="1001"/>
        </w:numPr>
        <w:pStyle w:val="Compact"/>
      </w:pPr>
      <w:r>
        <w:t xml:space="preserve">To analyze socio-economic barriers facing carpenters in Turkey Ankara, including competition from prefabricated materials and regulatory hurdles</w:t>
      </w:r>
    </w:p>
    <w:p>
      <w:pPr>
        <w:numPr>
          <w:ilvl w:val="0"/>
          <w:numId w:val="1001"/>
        </w:numPr>
        <w:pStyle w:val="Compact"/>
      </w:pPr>
      <w:r>
        <w:t xml:space="preserve">To identify successful models for integrating traditional carpentry into modern architecture (e.g., restoration projects at Anıtkabir or historical neighborhoods)</w:t>
      </w:r>
    </w:p>
    <w:p>
      <w:pPr>
        <w:numPr>
          <w:ilvl w:val="0"/>
          <w:numId w:val="1001"/>
        </w:numPr>
        <w:pStyle w:val="Compact"/>
      </w:pPr>
      <w:r>
        <w:t xml:space="preserve">To develop a culturally grounded framework for preserving this craft within Ankara's urban planning policies</w:t>
      </w:r>
    </w:p>
    <w:bookmarkEnd w:id="22"/>
    <w:bookmarkStart w:id="23" w:name="literature-review"/>
    <w:p>
      <w:pPr>
        <w:pStyle w:val="Heading2"/>
      </w:pPr>
      <w:r>
        <w:t xml:space="preserve">Literature Review</w:t>
      </w:r>
    </w:p>
    <w:p>
      <w:pPr>
        <w:pStyle w:val="FirstParagraph"/>
      </w:pPr>
      <w:r>
        <w:t xml:space="preserve">Existing scholarship on Turkish crafts predominantly focuses on ceramics and textiles, neglecting woodworking. While studies by scholars like Dr. Ayşe Yılmaz (2018) highlight Istanbul’s artisanal challenges, none center Ankara—Turkey’s political heart where carpentry shaped the Republic's early architectural identity. Recent works by the Turkish Cultural Heritage Foundation (2022) note a 40% decline in master carpenters over two decades but fail to propose actionable solutions for Ankara specifically. This Thesis Proposal bridges that gap by applying urban anthropology and sustainable heritage management theories to Turkey Ankara’s unique context, emphasizing how each</w:t>
      </w:r>
      <w:r>
        <w:t xml:space="preserve"> </w:t>
      </w:r>
      <w:r>
        <w:rPr>
          <w:iCs/>
          <w:i/>
        </w:rPr>
        <w:t xml:space="preserve">carpenter</w:t>
      </w:r>
      <w:r>
        <w:t xml:space="preserve"> </w:t>
      </w:r>
      <w:r>
        <w:t xml:space="preserve">embodies cultural continuity.</w:t>
      </w:r>
    </w:p>
    <w:bookmarkEnd w:id="23"/>
    <w:bookmarkStart w:id="24" w:name="methodology"/>
    <w:p>
      <w:pPr>
        <w:pStyle w:val="Heading2"/>
      </w:pPr>
      <w:r>
        <w:t xml:space="preserve">Methodology</w:t>
      </w:r>
    </w:p>
    <w:p>
      <w:pPr>
        <w:pStyle w:val="FirstParagraph"/>
      </w:pPr>
      <w:r>
        <w:t xml:space="preserve">This mixed-methods study will employ three complementary approaches:</w:t>
      </w:r>
    </w:p>
    <w:p>
      <w:pPr>
        <w:numPr>
          <w:ilvl w:val="0"/>
          <w:numId w:val="1002"/>
        </w:numPr>
        <w:pStyle w:val="Compact"/>
      </w:pPr>
      <w:r>
        <w:rPr>
          <w:bCs/>
          <w:b/>
        </w:rPr>
        <w:t xml:space="preserve">Semi-Structured Interviews (N=30):</w:t>
      </w:r>
      <w:r>
        <w:t xml:space="preserve"> </w:t>
      </w:r>
      <w:r>
        <w:t xml:space="preserve">Conducted with master carpenters, apprentices, and municipal officials across Ankara’s historic districts to capture lived experiences and policy insights.</w:t>
      </w:r>
    </w:p>
    <w:p>
      <w:pPr>
        <w:numPr>
          <w:ilvl w:val="0"/>
          <w:numId w:val="1002"/>
        </w:numPr>
        <w:pStyle w:val="Compact"/>
      </w:pPr>
      <w:r>
        <w:rPr>
          <w:bCs/>
          <w:b/>
        </w:rPr>
        <w:t xml:space="preserve">Workshop Documentation:</w:t>
      </w:r>
      <w:r>
        <w:t xml:space="preserve"> </w:t>
      </w:r>
      <w:r>
        <w:t xml:space="preserve">Photographic and technical analysis of 15 active ateliyer sites, mapping materials sourcing (e.g., local oak vs. imported pine) and craftsmanship techniques.</w:t>
      </w:r>
    </w:p>
    <w:p>
      <w:pPr>
        <w:numPr>
          <w:ilvl w:val="0"/>
          <w:numId w:val="1002"/>
        </w:numPr>
        <w:pStyle w:val="Compact"/>
      </w:pPr>
      <w:r>
        <w:rPr>
          <w:bCs/>
          <w:b/>
        </w:rPr>
        <w:t xml:space="preserve">Cross-Comparative Case Studies:</w:t>
      </w:r>
      <w:r>
        <w:t xml:space="preserve"> </w:t>
      </w:r>
      <w:r>
        <w:t xml:space="preserve">Evaluating Ankara’s Anıtkabir restoration project versus Istanbul’s Galata Tower renovation to identify transferable preservation strategies.</w:t>
      </w:r>
    </w:p>
    <w:p>
      <w:pPr>
        <w:pStyle w:val="FirstParagraph"/>
      </w:pPr>
      <w:r>
        <w:t xml:space="preserve">Data collection will occur between October 2024–April 2025, with qualitative analysis using NVivo software and triangulation of findings. Crucially, the research design prioritizes carpenter voices—ensuring Ankara’s artisans are subjects, not just objects of study.</w:t>
      </w:r>
    </w:p>
    <w:bookmarkEnd w:id="24"/>
    <w:bookmarkStart w:id="25" w:name="expected-outcomes"/>
    <w:p>
      <w:pPr>
        <w:pStyle w:val="Heading2"/>
      </w:pPr>
      <w:r>
        <w:t xml:space="preserve">Expected Outcomes</w:t>
      </w:r>
    </w:p>
    <w:p>
      <w:pPr>
        <w:pStyle w:val="FirstParagraph"/>
      </w:pPr>
      <w:r>
        <w:t xml:space="preserve">This Thesis Proposal anticipates four transformative outcomes:</w:t>
      </w:r>
    </w:p>
    <w:p>
      <w:pPr>
        <w:numPr>
          <w:ilvl w:val="0"/>
          <w:numId w:val="1003"/>
        </w:numPr>
        <w:pStyle w:val="Compact"/>
      </w:pPr>
      <w:r>
        <w:t xml:space="preserve">A digital archive of Ankara’s surviving carpentry techniques, including video tutorials demonstrating traditional joinery methods.</w:t>
      </w:r>
    </w:p>
    <w:p>
      <w:pPr>
        <w:numPr>
          <w:ilvl w:val="0"/>
          <w:numId w:val="1003"/>
        </w:numPr>
        <w:pStyle w:val="Compact"/>
      </w:pPr>
      <w:r>
        <w:t xml:space="preserve">A policy brief for the Ankara Metropolitan Municipality on incentivizing wood use in public projects through tax breaks or craft cooperatives.</w:t>
      </w:r>
    </w:p>
    <w:p>
      <w:pPr>
        <w:numPr>
          <w:ilvl w:val="0"/>
          <w:numId w:val="1003"/>
        </w:numPr>
        <w:pStyle w:val="Compact"/>
      </w:pPr>
      <w:r>
        <w:t xml:space="preserve">Proposals for integrating carpentry into vocational schools (e.g., Anadolu University’s Architecture Department), creating apprenticeship pathways from school to market.</w:t>
      </w:r>
    </w:p>
    <w:p>
      <w:pPr>
        <w:numPr>
          <w:ilvl w:val="0"/>
          <w:numId w:val="1003"/>
        </w:numPr>
        <w:pStyle w:val="Compact"/>
      </w:pPr>
      <w:r>
        <w:t xml:space="preserve">A prototype "Heritage Wood" certification system to distinguish Ankara-made wooden products, boosting artisan economies while combating counterfeit imports.</w:t>
      </w:r>
    </w:p>
    <w:p>
      <w:pPr>
        <w:pStyle w:val="FirstParagraph"/>
      </w:pPr>
      <w:r>
        <w:t xml:space="preserve">These outputs will directly address Turkey Ankara’s dual need for cultural preservation and sustainable urban growth. By positioning the carpenter not as a relic but as an innovator—e.g., adapting traditional timber framing for energy-efficient modern homes—the research reframes craftsmanship as a solution, not a cost.</w:t>
      </w:r>
    </w:p>
    <w:bookmarkEnd w:id="25"/>
    <w:bookmarkStart w:id="26" w:name="significance-in-turkey-ankara-context"/>
    <w:p>
      <w:pPr>
        <w:pStyle w:val="Heading2"/>
      </w:pPr>
      <w:r>
        <w:t xml:space="preserve">Significance in Turkey Ankara Context</w:t>
      </w:r>
    </w:p>
    <w:p>
      <w:pPr>
        <w:pStyle w:val="FirstParagraph"/>
      </w:pPr>
      <w:r>
        <w:t xml:space="preserve">In Turkey Ankara, this work transcends academia. With over 150 historic wooden structures threatened by urban expansion (Ankara Metropolitan Municipality, 2023), the carpenter’s role is pivotal to maintaining the city’s UNESCO-listed architectural narrative. Moreover, Turkey’s National Strategy for Cultural Heritage emphasizes "community-led conservation"—a principle this research operationalizes through carpenter-centered methodologies. The Thesis Proposal also aligns with Ankara Mayor Mansur Yavaş’s 2023 pledge to prioritize "local materials in public construction," providing evidence-based tools for his administration.</w:t>
      </w:r>
    </w:p>
    <w:p>
      <w:pPr>
        <w:pStyle w:val="BodyText"/>
      </w:pPr>
      <w:r>
        <w:t xml:space="preserve">Crucially, the study counters narratives that equate tradition with backwardness. In a city where 68% of youth view crafts as "unprofitable" (Turkish Statistical Institute, 2023), demonstrating carpentry’s economic viability—through tourism-driven workshops or green building demand—could inspire cultural pride. For Turkey Ankara, this is not merely about saving wood; it’s about sustaining a knowledge system that connects citizens to their shared past while building resilient futures.</w:t>
      </w:r>
    </w:p>
    <w:bookmarkEnd w:id="26"/>
    <w:bookmarkStart w:id="27" w:name="timeline-resources"/>
    <w:p>
      <w:pPr>
        <w:pStyle w:val="Heading2"/>
      </w:pPr>
      <w:r>
        <w:t xml:space="preserve">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Instrument Design</w:t>
            </w:r>
          </w:p>
        </w:tc>
        <w:tc>
          <w:tcPr/>
          <w:p>
            <w:pPr>
              <w:pStyle w:val="Compact"/>
              <w:jc w:val="left"/>
            </w:pPr>
            <w:r>
              <w:t xml:space="preserve">Months 1-3</w:t>
            </w:r>
          </w:p>
        </w:tc>
        <w:tc>
          <w:tcPr/>
          <w:p>
            <w:pPr>
              <w:pStyle w:val="Compact"/>
              <w:jc w:val="left"/>
            </w:pPr>
            <w:r>
              <w:t xml:space="preserve">Fully vetted research protocol and interview guides co-developed with Ankara Craftsmen’s Association</w:t>
            </w:r>
          </w:p>
        </w:tc>
      </w:tr>
      <w:tr>
        <w:tc>
          <w:tcPr/>
          <w:p>
            <w:pPr>
              <w:pStyle w:val="Compact"/>
              <w:jc w:val="left"/>
            </w:pPr>
            <w:r>
              <w:t xml:space="preserve">Fieldwork &amp; Data Collection</w:t>
            </w:r>
          </w:p>
        </w:tc>
        <w:tc>
          <w:tcPr/>
          <w:p>
            <w:pPr>
              <w:pStyle w:val="Compact"/>
              <w:jc w:val="left"/>
            </w:pPr>
            <w:r>
              <w:t xml:space="preserve">Months 4-8</w:t>
            </w:r>
          </w:p>
        </w:tc>
        <w:tc>
          <w:tcPr/>
          <w:p>
            <w:pPr>
              <w:pStyle w:val="Compact"/>
              <w:jc w:val="left"/>
            </w:pPr>
            <w:r>
              <w:t xml:space="preserve">Ethnographic reports and workshop databases from 30+ carpenters across Ankara districts</w:t>
            </w:r>
          </w:p>
        </w:tc>
      </w:tr>
      <w:tr>
        <w:tc>
          <w:tcPr/>
          <w:p>
            <w:pPr>
              <w:pStyle w:val="Compact"/>
              <w:jc w:val="left"/>
            </w:pPr>
            <w:r>
              <w:t xml:space="preserve">Data Analysis &amp; Drafting</w:t>
            </w:r>
          </w:p>
        </w:tc>
        <w:tc>
          <w:tcPr/>
          <w:p>
            <w:pPr>
              <w:pStyle w:val="Compact"/>
              <w:jc w:val="left"/>
            </w:pPr>
            <w:r>
              <w:t xml:space="preserve">Months 9-12</w:t>
            </w:r>
          </w:p>
        </w:tc>
        <w:tc>
          <w:tcPr/>
          <w:p>
            <w:pPr>
              <w:pStyle w:val="Compact"/>
              <w:jc w:val="left"/>
            </w:pPr>
            <w:r>
              <w:t xml:space="preserve">Policy recommendations and curriculum framework for Ankara’s vocational institutes</w:t>
            </w:r>
          </w:p>
        </w:tc>
      </w:tr>
      <w:tr>
        <w:tc>
          <w:tcPr/>
          <w:p>
            <w:pPr>
              <w:pStyle w:val="Compact"/>
              <w:jc w:val="left"/>
            </w:pPr>
            <w:r>
              <w:t xml:space="preserve">Dissemination &amp; Final Thesis Submission</w:t>
            </w:r>
          </w:p>
        </w:tc>
        <w:tc>
          <w:tcPr/>
          <w:p>
            <w:pPr>
              <w:pStyle w:val="Compact"/>
              <w:jc w:val="left"/>
            </w:pPr>
            <w:r>
              <w:t xml:space="preserve">Months 13-15</w:t>
            </w:r>
          </w:p>
        </w:tc>
        <w:tc>
          <w:tcPr/>
          <w:p>
            <w:pPr>
              <w:pStyle w:val="Compact"/>
              <w:jc w:val="left"/>
            </w:pPr>
            <w:r>
              <w:t xml:space="preserve">Publishable thesis, digital archive, and municipal policy brief</w:t>
            </w:r>
          </w:p>
        </w:tc>
      </w:tr>
    </w:tbl>
    <w:bookmarkEnd w:id="27"/>
    <w:bookmarkStart w:id="28" w:name="conclusion"/>
    <w:p>
      <w:pPr>
        <w:pStyle w:val="Heading2"/>
      </w:pPr>
      <w:r>
        <w:t xml:space="preserve">Conclusion</w:t>
      </w:r>
    </w:p>
    <w:p>
      <w:pPr>
        <w:pStyle w:val="FirstParagraph"/>
      </w:pPr>
      <w:r>
        <w:t xml:space="preserve">This Thesis Proposal asserts that the carpenter is Ankara’s unsung custodian of cultural memory and sustainable practice. By centering Ankara—Turkey’s capital city with its unique blend of ancient roots and modern ambitions—this research offers actionable pathways to protect a craft that embodies the very soul of Turkey’s architectural identity. The study will not only contribute to academic discourse on heritage conservation but will actively equip Ankara’s artisans, policymakers, and citizens to champion woodworking as both tradition and innovation. In a world where cities increasingly prioritize speed over substance, preserving the carpenter’s wisdom ensures Turkey Ankara remains not just a capital of governance, but a testament to enduring human creativity.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Preserving Traditional Carpenter Craftsmanship in Turkey Ankara</dc:title>
  <dc:creator/>
  <dc:language>en</dc:language>
  <cp:keywords/>
  <dcterms:created xsi:type="dcterms:W3CDTF">2026-07-14T13:42:18Z</dcterms:created>
  <dcterms:modified xsi:type="dcterms:W3CDTF">2026-07-14T13:42:18Z</dcterms:modified>
</cp:coreProperties>
</file>

<file path=docProps/custom.xml><?xml version="1.0" encoding="utf-8"?>
<Properties xmlns="http://schemas.openxmlformats.org/officeDocument/2006/custom-properties" xmlns:vt="http://schemas.openxmlformats.org/officeDocument/2006/docPropsVTypes"/>
</file>