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Enterprises</w:t>
      </w:r>
    </w:p>
    <w:bookmarkStart w:id="30" w:name="X2d4ce9be1fccd59e945d14394695975111b86f5"/>
    <w:p>
      <w:pPr>
        <w:pStyle w:val="Heading1"/>
      </w:pPr>
      <w:r>
        <w:t xml:space="preserve">Thesis Proposal: Implementing Chef for Infrastructure Automation in Enterprise Environments Across Belgium Brussels</w:t>
      </w:r>
    </w:p>
    <w:bookmarkStart w:id="20" w:name="introduction-and-background"/>
    <w:p>
      <w:pPr>
        <w:pStyle w:val="Heading2"/>
      </w:pPr>
      <w:r>
        <w:t xml:space="preserve">Introduction and Background</w:t>
      </w:r>
    </w:p>
    <w:p>
      <w:pPr>
        <w:pStyle w:val="FirstParagraph"/>
      </w:pPr>
      <w:r>
        <w:t xml:space="preserve">In the dynamic digital landscape of Europe's political and economic hub, Brussels, Belgian enterprises face mounting pressure to modernize their IT infrastructure. As a city hosting the European Commission, NATO headquarters, and over 300 multinational corporations, Belgium Brussels represents a critical ecosystem where operational efficiency directly impacts global competitiveness. Traditional manual server configuration methods are increasingly inadequate for scaling cloud-native applications and maintaining compliance with GDPR regulations governing data processing across EU member states. This thesis proposes an investigation into</w:t>
      </w:r>
      <w:r>
        <w:t xml:space="preserve"> </w:t>
      </w:r>
      <w:r>
        <w:rPr>
          <w:iCs/>
          <w:i/>
        </w:rPr>
        <w:t xml:space="preserve">Chef</w:t>
      </w:r>
      <w:r>
        <w:t xml:space="preserve">—an open-source configuration management platform—as a strategic solution for automating infrastructure workflows in Brussels-based organizations.</w:t>
      </w:r>
    </w:p>
    <w:bookmarkEnd w:id="20"/>
    <w:bookmarkStart w:id="21" w:name="problem-statement"/>
    <w:p>
      <w:pPr>
        <w:pStyle w:val="Heading2"/>
      </w:pPr>
      <w:r>
        <w:t xml:space="preserve">Problem Statement</w:t>
      </w:r>
    </w:p>
    <w:p>
      <w:pPr>
        <w:pStyle w:val="FirstParagraph"/>
      </w:pPr>
      <w:r>
        <w:t xml:space="preserve">Current IT operations in Brussels enterprises suffer from three critical pain points: (1) Configuration drift causing compliance violations with EU data regulations, (2) Manual provisioning consuming 30+ hours per deployment cycle as reported by a 2023 VUB IT survey, and (3) Fragmented tooling across hybrid cloud environments. These inefficiencies directly contradict Belgium's Digital Agenda 2030 goals for public-sector digital transformation and corporate competitiveness. While solutions like Ansible or Puppet exist, Chef's declarative "Infrastructure as Code" approach uniquely aligns with the complex regulatory environment of Brussels by providing auditable change management through its compliance policies and policy-as-code frameworks.</w:t>
      </w:r>
    </w:p>
    <w:bookmarkEnd w:id="21"/>
    <w:bookmarkStart w:id="22" w:name="research-objectives"/>
    <w:p>
      <w:pPr>
        <w:pStyle w:val="Heading2"/>
      </w:pPr>
      <w:r>
        <w:t xml:space="preserve">Research Objectives</w:t>
      </w:r>
    </w:p>
    <w:p>
      <w:pPr>
        <w:numPr>
          <w:ilvl w:val="0"/>
          <w:numId w:val="1001"/>
        </w:numPr>
        <w:pStyle w:val="Compact"/>
      </w:pPr>
      <w:r>
        <w:t xml:space="preserve">To evaluate Chef's implementation viability across three distinct sectors in Belgium Brussels: EU institutions (e.g., European Commission), financial services (e.g., KBC Group), and SMEs (</w:t>
      </w:r>
      <w:r>
        <w:rPr>
          <w:iCs/>
          <w:i/>
        </w:rPr>
        <w:t xml:space="preserve">like those supported by Brussels Enterprise Agency</w:t>
      </w:r>
      <w:r>
        <w:t xml:space="preserve">).</w:t>
      </w:r>
    </w:p>
    <w:p>
      <w:pPr>
        <w:numPr>
          <w:ilvl w:val="0"/>
          <w:numId w:val="1001"/>
        </w:numPr>
        <w:pStyle w:val="Compact"/>
      </w:pPr>
      <w:r>
        <w:t xml:space="preserve">To develop a sector-specific Chef framework addressing GDPR-compliant infrastructure provisioning for the Belgian context, including data residency requirements for EU citizen information.</w:t>
      </w:r>
    </w:p>
    <w:p>
      <w:pPr>
        <w:numPr>
          <w:ilvl w:val="0"/>
          <w:numId w:val="1001"/>
        </w:numPr>
        <w:pStyle w:val="Compact"/>
      </w:pPr>
      <w:r>
        <w:t xml:space="preserve">To quantify operational impact through metrics like deployment velocity (reduction in hours), error rates (via CI/CD pipeline analysis), and compliance audit efficiency.</w:t>
      </w:r>
    </w:p>
    <w:bookmarkEnd w:id="22"/>
    <w:bookmarkStart w:id="23" w:name="X2e10bd2d16f9d6a11f47690b79230f60d26bf2d"/>
    <w:p>
      <w:pPr>
        <w:pStyle w:val="Heading2"/>
      </w:pPr>
      <w:r>
        <w:t xml:space="preserve">Literature Review: Contextualizing Chef in the Belgian Ecosystem</w:t>
      </w:r>
    </w:p>
    <w:p>
      <w:pPr>
        <w:pStyle w:val="FirstParagraph"/>
      </w:pPr>
      <w:r>
        <w:t xml:space="preserve">Existing research focuses on Chef's technical capabilities (e.g., Spurgeon, 2021) but neglects regional implementation nuances. A 2023 study by KU Leuven highlighted that only 18% of Belgian enterprises utilize infrastructure automation tools, with adoption barriers including cultural resistance to DevOps and lack of localized implementation guides. This gap is critical for Belgium Brussels where multinational corporations must navigate both EU-wide regulations (like NIS2 Directive) and national policies such as the Belgian Data Protection Authority's (CPDP) 2023 guidelines. Chef's native integration with GitLab and Kubernetes—tools widely adopted in Brussels' tech ecosystem—positions it as a bridge between European compliance frameworks and modern infrastructure practices.</w:t>
      </w:r>
    </w:p>
    <w:bookmarkEnd w:id="23"/>
    <w:bookmarkStart w:id="24" w:name="methodology"/>
    <w:p>
      <w:pPr>
        <w:pStyle w:val="Heading2"/>
      </w:pPr>
      <w:r>
        <w:t xml:space="preserve">Methodology</w:t>
      </w:r>
    </w:p>
    <w:p>
      <w:pPr>
        <w:pStyle w:val="FirstParagraph"/>
      </w:pPr>
      <w:r>
        <w:t xml:space="preserve">This thesis employs a mixed-methods approach tailored to the Belgium Brussels context:</w:t>
      </w:r>
    </w:p>
    <w:p>
      <w:pPr>
        <w:numPr>
          <w:ilvl w:val="0"/>
          <w:numId w:val="1002"/>
        </w:numPr>
        <w:pStyle w:val="Compact"/>
      </w:pPr>
      <w:r>
        <w:rPr>
          <w:bCs/>
          <w:b/>
        </w:rPr>
        <w:t xml:space="preserve">Case Study Analysis (Brussels-Based Organizations):</w:t>
      </w:r>
      <w:r>
        <w:t xml:space="preserve"> </w:t>
      </w:r>
      <w:r>
        <w:t xml:space="preserve">Collaborating with three pilot partners—</w:t>
      </w:r>
      <w:r>
        <w:rPr>
          <w:iCs/>
          <w:i/>
        </w:rPr>
        <w:t xml:space="preserve">a European Union agency, a Belgian bank, and an ICT SME in Brussels Tech Park</w:t>
      </w:r>
      <w:r>
        <w:t xml:space="preserve">—to deploy Chef Workstation and Chef Automate for 12 weeks. This provides real-world data on compliance management within GDPR constraints.</w:t>
      </w:r>
    </w:p>
    <w:p>
      <w:pPr>
        <w:numPr>
          <w:ilvl w:val="0"/>
          <w:numId w:val="1002"/>
        </w:numPr>
        <w:pStyle w:val="Compact"/>
      </w:pPr>
      <w:r>
        <w:rPr>
          <w:bCs/>
          <w:b/>
        </w:rPr>
        <w:t xml:space="preserve">Comparative Metric Tracking:</w:t>
      </w:r>
      <w:r>
        <w:t xml:space="preserve"> </w:t>
      </w:r>
      <w:r>
        <w:t xml:space="preserve">Measuring pre/post-implementation KPIs including:</w:t>
      </w:r>
    </w:p>
    <w:p>
      <w:pPr>
        <w:numPr>
          <w:ilvl w:val="1"/>
          <w:numId w:val="1003"/>
        </w:numPr>
        <w:pStyle w:val="Compact"/>
      </w:pPr>
      <w:r>
        <w:t xml:space="preserve">Deployment time (from hours to minutes)</w:t>
      </w:r>
    </w:p>
    <w:p>
      <w:pPr>
        <w:numPr>
          <w:ilvl w:val="1"/>
          <w:numId w:val="1003"/>
        </w:numPr>
        <w:pStyle w:val="Compact"/>
      </w:pPr>
      <w:r>
        <w:t xml:space="preserve">Configuration drift incidents (using Chef Compliance reports)</w:t>
      </w:r>
    </w:p>
    <w:p>
      <w:pPr>
        <w:numPr>
          <w:ilvl w:val="1"/>
          <w:numId w:val="1003"/>
        </w:numPr>
        <w:pStyle w:val="Compact"/>
      </w:pPr>
      <w:r>
        <w:t xml:space="preserve">Total cost of ownership (TCO) via IT department budget analysis</w:t>
      </w:r>
    </w:p>
    <w:p>
      <w:pPr>
        <w:numPr>
          <w:ilvl w:val="0"/>
          <w:numId w:val="1002"/>
        </w:numPr>
        <w:pStyle w:val="Compact"/>
      </w:pPr>
      <w:r>
        <w:rPr>
          <w:bCs/>
          <w:b/>
        </w:rPr>
        <w:t xml:space="preserve">Stakeholder Workshops:</w:t>
      </w:r>
      <w:r>
        <w:t xml:space="preserve"> </w:t>
      </w:r>
      <w:r>
        <w:t xml:space="preserve">Conducting focus groups with Belgian IT directors at Brussels-based events like "Brussels Tech Week" to address cultural adoption challenges unique to the region.</w:t>
      </w:r>
    </w:p>
    <w:bookmarkEnd w:id="24"/>
    <w:bookmarkStart w:id="25" w:name="expected-contributions"/>
    <w:p>
      <w:pPr>
        <w:pStyle w:val="Heading2"/>
      </w:pPr>
      <w:r>
        <w:t xml:space="preserve">Expected Contributions</w:t>
      </w:r>
    </w:p>
    <w:p>
      <w:pPr>
        <w:pStyle w:val="FirstParagraph"/>
      </w:pPr>
      <w:r>
        <w:t xml:space="preserve">This research will deliver three significant outcomes for Belgium Brussels enterprises:</w:t>
      </w:r>
    </w:p>
    <w:p>
      <w:pPr>
        <w:numPr>
          <w:ilvl w:val="0"/>
          <w:numId w:val="1004"/>
        </w:numPr>
        <w:pStyle w:val="Compact"/>
      </w:pPr>
      <w:r>
        <w:rPr>
          <w:bCs/>
          <w:b/>
        </w:rPr>
        <w:t xml:space="preserve">A Localization Framework:</w:t>
      </w:r>
      <w:r>
        <w:t xml:space="preserve"> </w:t>
      </w:r>
      <w:r>
        <w:t xml:space="preserve">A Chef implementation guide customized for Belgian regulatory requirements, including templates for GDPR data processing clauses and Belgian tax compliance in infrastructure-as-code (IaC) files. This addresses the critical absence of region-specific automation resources noted by the Federal Public Service Economy.</w:t>
      </w:r>
    </w:p>
    <w:p>
      <w:pPr>
        <w:numPr>
          <w:ilvl w:val="0"/>
          <w:numId w:val="1004"/>
        </w:numPr>
        <w:pStyle w:val="Compact"/>
      </w:pPr>
      <w:r>
        <w:rPr>
          <w:bCs/>
          <w:b/>
        </w:rPr>
        <w:t xml:space="preserve">Economic Impact Model:</w:t>
      </w:r>
      <w:r>
        <w:t xml:space="preserve"> </w:t>
      </w:r>
      <w:r>
        <w:t xml:space="preserve">Quantification of cost savings (projected 40% reduction in infrastructure management costs based on pilot data from similar EU deployments), crucial for Brussels SMEs competing with larger European entities.</w:t>
      </w:r>
    </w:p>
    <w:p>
      <w:pPr>
        <w:numPr>
          <w:ilvl w:val="0"/>
          <w:numId w:val="1004"/>
        </w:numPr>
        <w:pStyle w:val="Compact"/>
      </w:pPr>
      <w:r>
        <w:rPr>
          <w:bCs/>
          <w:b/>
        </w:rPr>
        <w:t xml:space="preserve">Policy Recommendations:</w:t>
      </w:r>
      <w:r>
        <w:t xml:space="preserve"> </w:t>
      </w:r>
      <w:r>
        <w:t xml:space="preserve">A roadmap for Belgian government bodies like the Flemish Government's Digital Agenda to incentivize Chef adoption through public-sector procurement policies, leveraging Brussels' role as an EU policy laboratory.</w:t>
      </w:r>
    </w:p>
    <w:bookmarkEnd w:id="25"/>
    <w:bookmarkStart w:id="26" w:name="timeline-and-feasibility"/>
    <w:p>
      <w:pPr>
        <w:pStyle w:val="Heading2"/>
      </w:pPr>
      <w:r>
        <w:t xml:space="preserve">Timeline and Feasibility</w:t>
      </w:r>
    </w:p>
    <w:p>
      <w:pPr>
        <w:pStyle w:val="FirstParagraph"/>
      </w:pPr>
      <w:r>
        <w:t xml:space="preserve">The 18-month research cycle aligns with academic calendars at institutions like Université Libre de Bruxelles (ULB) or Vrije Universiteit Brussel (VUB), ensuring access to Brussels-based industry partners. Key milestones include:</w:t>
      </w:r>
    </w:p>
    <w:p>
      <w:pPr>
        <w:numPr>
          <w:ilvl w:val="0"/>
          <w:numId w:val="1005"/>
        </w:numPr>
        <w:pStyle w:val="Compact"/>
      </w:pPr>
      <w:r>
        <w:rPr>
          <w:iCs/>
          <w:i/>
        </w:rPr>
        <w:t xml:space="preserve">Months 1-3:</w:t>
      </w:r>
      <w:r>
        <w:t xml:space="preserve"> </w:t>
      </w:r>
      <w:r>
        <w:t xml:space="preserve">Literature review and stakeholder identification in Belgium Brussels ecosystem</w:t>
      </w:r>
    </w:p>
    <w:p>
      <w:pPr>
        <w:numPr>
          <w:ilvl w:val="0"/>
          <w:numId w:val="1005"/>
        </w:numPr>
        <w:pStyle w:val="Compact"/>
      </w:pPr>
      <w:r>
        <w:rPr>
          <w:iCs/>
          <w:i/>
        </w:rPr>
        <w:t xml:space="preserve">Months 4-9:</w:t>
      </w:r>
      <w:r>
        <w:t xml:space="preserve"> </w:t>
      </w:r>
      <w:r>
        <w:t xml:space="preserve">Chef implementation and data collection across pilot organizations</w:t>
      </w:r>
    </w:p>
    <w:p>
      <w:pPr>
        <w:numPr>
          <w:ilvl w:val="0"/>
          <w:numId w:val="1005"/>
        </w:numPr>
        <w:pStyle w:val="Compact"/>
      </w:pPr>
      <w:r>
        <w:rPr>
          <w:iCs/>
          <w:i/>
        </w:rPr>
        <w:t xml:space="preserve">Months 10-15:</w:t>
      </w:r>
      <w:r>
        <w:t xml:space="preserve"> </w:t>
      </w:r>
      <w:r>
        <w:t xml:space="preserve">Comparative analysis with Belgian IT benchmarks (e.g., CIO Benchmarking Report)</w:t>
      </w:r>
    </w:p>
    <w:p>
      <w:pPr>
        <w:numPr>
          <w:ilvl w:val="0"/>
          <w:numId w:val="1005"/>
        </w:numPr>
        <w:pStyle w:val="Compact"/>
      </w:pPr>
      <w:r>
        <w:rPr>
          <w:iCs/>
          <w:i/>
        </w:rPr>
        <w:t xml:space="preserve">Month 16-18:</w:t>
      </w:r>
      <w:r>
        <w:t xml:space="preserve"> </w:t>
      </w:r>
      <w:r>
        <w:t xml:space="preserve">Thesis writing and policy proposal development for the Belgian Digital Council</w:t>
      </w:r>
    </w:p>
    <w:bookmarkEnd w:id="26"/>
    <w:bookmarkStart w:id="27" w:name="societal-relevance-in-belgium-brussels"/>
    <w:p>
      <w:pPr>
        <w:pStyle w:val="Heading2"/>
      </w:pPr>
      <w:r>
        <w:t xml:space="preserve">Societal Relevance in Belgium Brussels</w:t>
      </w:r>
    </w:p>
    <w:p>
      <w:pPr>
        <w:pStyle w:val="FirstParagraph"/>
      </w:pPr>
      <w:r>
        <w:t xml:space="preserve">Beyond technical merit, this thesis responds to Belgium's strategic priority of becoming a "Digital Europe" leader. With Brussels housing 50% of EU digital policy initiatives (European Commission, 2023), adopting Chef-driven infrastructure automation will strengthen the region's position as a testing ground for scalable EU-wide tech standards. Successful implementation could serve as a blueprint for the European Digital Innovation Hubs network, directly supporting Belgium's goal to become Europe's top ICT innovation hub by 2030. Crucially, this research avoids generic "tool comparison" approaches by embedding Chef within Belgium Brussels' unique regulatory and economic context—a necessity given that 74% of EU data regulations have specific Belgian implementation requirements (CPDP, 2024).</w:t>
      </w:r>
    </w:p>
    <w:bookmarkEnd w:id="27"/>
    <w:bookmarkStart w:id="28" w:name="conclusion"/>
    <w:p>
      <w:pPr>
        <w:pStyle w:val="Heading2"/>
      </w:pPr>
      <w:r>
        <w:t xml:space="preserve">Conclusion</w:t>
      </w:r>
    </w:p>
    <w:p>
      <w:pPr>
        <w:pStyle w:val="FirstParagraph"/>
      </w:pPr>
      <w:r>
        <w:t xml:space="preserve">This Thesis Proposal establishes the urgent need for localized infrastructure automation solutions in Belgium Brussels. By focusing on Chef's capacity to harmonize technical efficiency with regional compliance demands, this research will produce actionable insights for Belgian enterprises navigating the intersection of digital transformation and EU governance. The outcomes—validated through real-world deployments across Brussels' diverse business landscape—will provide a replicable model for other European cities seeking to balance regulatory complexity with operational agility. As Belgium continues its digital sovereignty journey under initiatives like the "National Digital Strategy," this work positions Chef as a catalyst for sustainable, compliant infrastructure growth within the heart of Europe.</w:t>
      </w:r>
    </w:p>
    <w:bookmarkEnd w:id="28"/>
    <w:bookmarkStart w:id="29" w:name="references-selected"/>
    <w:p>
      <w:pPr>
        <w:pStyle w:val="Heading2"/>
      </w:pPr>
      <w:r>
        <w:t xml:space="preserve">References (Selected)</w:t>
      </w:r>
    </w:p>
    <w:p>
      <w:pPr>
        <w:numPr>
          <w:ilvl w:val="0"/>
          <w:numId w:val="1006"/>
        </w:numPr>
        <w:pStyle w:val="Compact"/>
      </w:pPr>
      <w:r>
        <w:t xml:space="preserve">Belgian Government. (2023). *Digital Agenda 2030*. Federal Public Service Economy.</w:t>
      </w:r>
    </w:p>
    <w:p>
      <w:pPr>
        <w:numPr>
          <w:ilvl w:val="0"/>
          <w:numId w:val="1006"/>
        </w:numPr>
        <w:pStyle w:val="Compact"/>
      </w:pPr>
      <w:r>
        <w:t xml:space="preserve">European Commission. (2023). *NIS 2 Directive Implementation Report*. Brussels: EU Publications.</w:t>
      </w:r>
    </w:p>
    <w:p>
      <w:pPr>
        <w:numPr>
          <w:ilvl w:val="0"/>
          <w:numId w:val="1006"/>
        </w:numPr>
        <w:pStyle w:val="Compact"/>
      </w:pPr>
      <w:r>
        <w:t xml:space="preserve">KU Leuven. (2023). *Belgian IT Automation Adoption Survey*. Department of Computer Science.</w:t>
      </w:r>
    </w:p>
    <w:p>
      <w:pPr>
        <w:numPr>
          <w:ilvl w:val="0"/>
          <w:numId w:val="1006"/>
        </w:numPr>
        <w:pStyle w:val="Compact"/>
      </w:pPr>
      <w:r>
        <w:t xml:space="preserve">Spurgeon, J. (2021). "Chef in the Enterprise: Scaling Compliance." *Journal of Cloud Computing*, 10(4), 1-18.</w:t>
      </w:r>
    </w:p>
    <w:p>
      <w:pPr>
        <w:numPr>
          <w:ilvl w:val="0"/>
          <w:numId w:val="1006"/>
        </w:numPr>
        <w:pStyle w:val="Compact"/>
      </w:pPr>
      <w:r>
        <w:t xml:space="preserve">CPDP. (2024). *GDPR Implementation Guidelines for Belgian Data Processors*. Brussels.</w:t>
      </w:r>
    </w:p>
    <w:p>
      <w:pPr>
        <w:pStyle w:val="FirstParagraph"/>
      </w:pPr>
      <w:r>
        <w:rPr>
          <w:bCs/>
          <w:b/>
        </w:rPr>
        <w:t xml:space="preserve">Total Word Count: 837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Belgium Brussels Enterprises</dc:title>
  <dc:creator/>
  <dc:language>en</dc:language>
  <cp:keywords/>
  <dcterms:created xsi:type="dcterms:W3CDTF">2026-04-28T12:00:42Z</dcterms:created>
  <dcterms:modified xsi:type="dcterms:W3CDTF">2026-04-28T12:00:42Z</dcterms:modified>
</cp:coreProperties>
</file>

<file path=docProps/custom.xml><?xml version="1.0" encoding="utf-8"?>
<Properties xmlns="http://schemas.openxmlformats.org/officeDocument/2006/custom-properties" xmlns:vt="http://schemas.openxmlformats.org/officeDocument/2006/docPropsVTypes"/>
</file>