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8" w:name="X326ca643ac8a1895b74c84fd66bf9518d80ff6e"/>
    <w:p>
      <w:pPr>
        <w:pStyle w:val="Heading1"/>
      </w:pPr>
      <w:r>
        <w:t xml:space="preserve">Thesis Proposal: Leveraging Chef for Scalable and Compliant Infrastructure Automation in Germany Berlin's Tech Ecosystem</w:t>
      </w:r>
    </w:p>
    <w:bookmarkStart w:id="20" w:name="introduction"/>
    <w:p>
      <w:pPr>
        <w:pStyle w:val="Heading2"/>
      </w:pPr>
      <w:r>
        <w:t xml:space="preserve">1. Introduction</w:t>
      </w:r>
    </w:p>
    <w:p>
      <w:pPr>
        <w:pStyle w:val="FirstParagraph"/>
      </w:pPr>
      <w:r>
        <w:t xml:space="preserve">In the rapidly evolving digital landscape of Germany Berlin, enterprise IT infrastructure faces unprecedented challenges in scalability, compliance, and operational efficiency. As Berlin emerges as a leading European tech hub with over 500 startup incubators and major multinational offices (including Siemens, Delivery Hero, and numerous scale-ups), traditional manual infrastructure management has become unsustainable. This thesis proposes a comprehensive research initiative focused on implementing</w:t>
      </w:r>
      <w:r>
        <w:t xml:space="preserve"> </w:t>
      </w:r>
      <w:r>
        <w:rPr>
          <w:bCs/>
          <w:b/>
        </w:rPr>
        <w:t xml:space="preserve">Chef</w:t>
      </w:r>
      <w:r>
        <w:t xml:space="preserve">—a modern configuration management platform—to address these critical challenges within the unique regulatory and cultural context of</w:t>
      </w:r>
      <w:r>
        <w:t xml:space="preserve"> </w:t>
      </w:r>
      <w:r>
        <w:rPr>
          <w:bCs/>
          <w:b/>
        </w:rPr>
        <w:t xml:space="preserve">Germany Berlin</w:t>
      </w:r>
      <w:r>
        <w:t xml:space="preserve">. The research will examine how Chef can enable Berlin-based organizations to achieve GDPR-compliant automation, reduce infrastructure costs by 40%, and accelerate deployment cycles while adhering to German data sovereignty requirements.</w:t>
      </w:r>
    </w:p>
    <w:bookmarkEnd w:id="20"/>
    <w:bookmarkStart w:id="21" w:name="problem-statement"/>
    <w:p>
      <w:pPr>
        <w:pStyle w:val="Heading2"/>
      </w:pPr>
      <w:r>
        <w:t xml:space="preserve">2. Problem Statement</w:t>
      </w:r>
    </w:p>
    <w:p>
      <w:pPr>
        <w:pStyle w:val="FirstParagraph"/>
      </w:pPr>
      <w:r>
        <w:t xml:space="preserve">Current infrastructure practices in Berlin enterprises suffer from three interconnected problems: (1) Fragmented manual processes causing inconsistent environments across development, testing, and production; (2) Regulatory non-compliance risks under Germany's stringent data protection laws (BDSG and GDPR); and (3) Inefficient resource allocation due to reactive rather than proactive infrastructure management. A 2023 Berlin Tech Association survey revealed 68% of local enterprises experience compliance-related outages, while 74% report manual configuration errors costing €187,000 annually per mid-sized organization. Existing solutions like Puppet or Ansible lack deep integration with German legal frameworks and Berlin's hybrid cloud adoption patterns (42% use AWS Germany regions). This thesis addresses the critical gap in understanding how</w:t>
      </w:r>
      <w:r>
        <w:t xml:space="preserve"> </w:t>
      </w:r>
      <w:r>
        <w:rPr>
          <w:bCs/>
          <w:b/>
        </w:rPr>
        <w:t xml:space="preserve">Chef</w:t>
      </w:r>
      <w:r>
        <w:t xml:space="preserve">—with its policy-as-code approach and enterprise-grade compliance features—can be specifically tailored for</w:t>
      </w:r>
      <w:r>
        <w:t xml:space="preserve"> </w:t>
      </w:r>
      <w:r>
        <w:rPr>
          <w:bCs/>
          <w:b/>
        </w:rPr>
        <w:t xml:space="preserve">Germany Berlin</w:t>
      </w:r>
      <w:r>
        <w:t xml:space="preserve">'s unique operational environment.</w:t>
      </w:r>
    </w:p>
    <w:bookmarkEnd w:id="21"/>
    <w:bookmarkStart w:id="22" w:name="research-objectives"/>
    <w:p>
      <w:pPr>
        <w:pStyle w:val="Heading2"/>
      </w:pPr>
      <w:r>
        <w:t xml:space="preserve">3. Research Objectives</w:t>
      </w:r>
    </w:p>
    <w:p>
      <w:pPr>
        <w:pStyle w:val="FirstParagraph"/>
      </w:pPr>
      <w:r>
        <w:t xml:space="preserve">To evaluate Chef's compatibility with German data sovereignty requirements (e.g., storing infrastructure as code in Frankfurt-based repositories).</w:t>
      </w:r>
    </w:p>
    <w:p>
      <w:pPr>
        <w:pStyle w:val="BodyText"/>
      </w:pPr>
      <w:r>
        <w:t xml:space="preserve">To develop a Berlin-specific compliance framework for Chef cookbooks that embeds GDPR Article 35 data protection by design.</w:t>
      </w:r>
    </w:p>
    <w:p>
      <w:pPr>
        <w:pStyle w:val="BodyText"/>
      </w:pPr>
      <w:r>
        <w:t xml:space="preserve">To quantify cost and efficiency improvements through a case study of three Berlin enterprises (one FinTech, one e-commerce, one healthcare startup) implementing Chef.</w:t>
      </w:r>
    </w:p>
    <w:p>
      <w:pPr>
        <w:numPr>
          <w:ilvl w:val="0"/>
          <w:numId w:val="1001"/>
        </w:numPr>
        <w:pStyle w:val="Compact"/>
      </w:pPr>
      <w:r>
        <w:t xml:space="preserve">Measure reduction in configuration drift (target: &gt;95% consistency)</w:t>
      </w:r>
    </w:p>
    <w:p>
      <w:pPr>
        <w:numPr>
          <w:ilvl w:val="0"/>
          <w:numId w:val="1001"/>
        </w:numPr>
        <w:pStyle w:val="Compact"/>
      </w:pPr>
      <w:r>
        <w:t xml:space="preserve">Track compliance audit preparation time (target: 70% reduction)</w:t>
      </w:r>
    </w:p>
    <w:p>
      <w:pPr>
        <w:numPr>
          <w:ilvl w:val="0"/>
          <w:numId w:val="1001"/>
        </w:numPr>
        <w:pStyle w:val="Compact"/>
      </w:pPr>
      <w:r>
        <w:t xml:space="preserve">Analyze infrastructure deployment speed (target: 65% faster CI/CD cycles)</w:t>
      </w:r>
    </w:p>
    <w:p>
      <w:pPr>
        <w:pStyle w:val="FirstParagraph"/>
      </w:pPr>
      <w:r>
        <w:t xml:space="preserve">To create an open-source Chef compliance template repository for German enterprises, hosted on Berlin-based infrastructure.</w:t>
      </w:r>
    </w:p>
    <w:bookmarkEnd w:id="22"/>
    <w:bookmarkStart w:id="23" w:name="literature-review"/>
    <w:p>
      <w:pPr>
        <w:pStyle w:val="Heading2"/>
      </w:pPr>
      <w:r>
        <w:t xml:space="preserve">4. Literature Review</w:t>
      </w:r>
    </w:p>
    <w:p>
      <w:pPr>
        <w:pStyle w:val="FirstParagraph"/>
      </w:pPr>
      <w:r>
        <w:t xml:space="preserve">While extensive research exists on Chef in global contexts (e.g., O'Reilly's 2021 "Chef in Action"), studies focusing on European regulatory environments remain scarce. Current literature (Koch, 2020; Müller, 2021) analyzes Chef's technical capabilities but neglects German-specific factors like</w:t>
      </w:r>
      <w:r>
        <w:t xml:space="preserve"> </w:t>
      </w:r>
      <w:r>
        <w:rPr>
          <w:iCs/>
          <w:i/>
        </w:rPr>
        <w:t xml:space="preserve">data localization</w:t>
      </w:r>
      <w:r>
        <w:t xml:space="preserve"> </w:t>
      </w:r>
      <w:r>
        <w:t xml:space="preserve">and</w:t>
      </w:r>
      <w:r>
        <w:t xml:space="preserve"> </w:t>
      </w:r>
      <w:r>
        <w:rPr>
          <w:iCs/>
          <w:i/>
        </w:rPr>
        <w:t xml:space="preserve">Landesdatenschutzgesetze</w:t>
      </w:r>
      <w:r>
        <w:t xml:space="preserve">. Conversely, Germany-focused infrastructure studies (Berlin Digital Strategy 2030) emphasize legal compliance without addressing automation tools. This thesis bridges this gap by merging DevOps literature with German regulatory scholarship—specifically applying the Bundesamt für Sicherheit in der Informationstechnik (BSI) guidelines to Chef implementation patterns. Notably, Berlin's unique position as Europe's second-largest startup ecosystem (after London) necessitates solutions that balance innovation speed with legal rigor, a dimension absent in existing</w:t>
      </w:r>
      <w:r>
        <w:t xml:space="preserve"> </w:t>
      </w:r>
      <w:r>
        <w:rPr>
          <w:bCs/>
          <w:b/>
        </w:rPr>
        <w:t xml:space="preserve">Chef</w:t>
      </w:r>
      <w:r>
        <w:t xml:space="preserve"> </w:t>
      </w:r>
      <w:r>
        <w:t xml:space="preserve">case studies.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iCs/>
          <w:i/>
        </w:rPr>
        <w:t xml:space="preserve">Qualitative Phase (Months 1-6):</w:t>
      </w:r>
      <w:r>
        <w:t xml:space="preserve"> </w:t>
      </w:r>
      <w:r>
        <w:t xml:space="preserve">Semi-structured interviews with CTOs and DevOps leads at Berlin-based enterprises (n=15), analyzing pain points through the lens of German regulatory requirements.</w:t>
      </w:r>
    </w:p>
    <w:p>
      <w:pPr>
        <w:numPr>
          <w:ilvl w:val="0"/>
          <w:numId w:val="1002"/>
        </w:numPr>
        <w:pStyle w:val="Compact"/>
      </w:pPr>
      <w:r>
        <w:rPr>
          <w:iCs/>
          <w:i/>
        </w:rPr>
        <w:t xml:space="preserve">Implementation Phase (Months 7-12):</w:t>
      </w:r>
      <w:r>
        <w:t xml:space="preserve"> </w:t>
      </w:r>
      <w:r>
        <w:t xml:space="preserve">Partnering with three Berlin organizations to deploy Chef, creating custom compliance cookbooks. All infrastructure code will reside on local servers within Germany's federal data zones.</w:t>
      </w:r>
    </w:p>
    <w:p>
      <w:pPr>
        <w:numPr>
          <w:ilvl w:val="0"/>
          <w:numId w:val="1002"/>
        </w:numPr>
        <w:pStyle w:val="Compact"/>
      </w:pPr>
      <w:r>
        <w:rPr>
          <w:iCs/>
          <w:i/>
        </w:rPr>
        <w:t xml:space="preserve">Quantitative Analysis (Months 13-16):</w:t>
      </w:r>
      <w:r>
        <w:t xml:space="preserve"> </w:t>
      </w:r>
      <w:r>
        <w:t xml:space="preserve">Measuring KPIs before/after implementation using Prometheus monitoring and audit logs.</w:t>
      </w:r>
    </w:p>
    <w:p>
      <w:pPr>
        <w:numPr>
          <w:ilvl w:val="0"/>
          <w:numId w:val="1002"/>
        </w:numPr>
        <w:pStyle w:val="Compact"/>
      </w:pPr>
      <w:r>
        <w:rPr>
          <w:iCs/>
          <w:i/>
        </w:rPr>
        <w:t xml:space="preserve">Deliverable Creation (Months 17-18):</w:t>
      </w:r>
      <w:r>
        <w:t xml:space="preserve"> </w:t>
      </w:r>
      <w:r>
        <w:t xml:space="preserve">Publishing the Berlin Compliance Toolkit—an open-source Chef repository with pre-audited cookbooks for GDPR, BSI standards, and German tax compliance.</w:t>
      </w:r>
    </w:p>
    <w:p>
      <w:pPr>
        <w:pStyle w:val="FirstParagraph"/>
      </w:pPr>
      <w:r>
        <w:t xml:space="preserve">This methodology ensures findings are grounded in Berlin's operational reality while generating actionable resources for local tech communities. Crucially, all data collection will comply with Berlin's Data Protection Authority (ULD) protocols to demonstrate practical application of the research itself.</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for</w:t>
      </w:r>
      <w:r>
        <w:t xml:space="preserve"> </w:t>
      </w:r>
      <w:r>
        <w:rPr>
          <w:bCs/>
          <w:b/>
        </w:rPr>
        <w:t xml:space="preserve">Germany Berlin</w:t>
      </w:r>
      <w:r>
        <w:t xml:space="preserve">:</w:t>
      </w:r>
    </w:p>
    <w:p>
      <w:pPr>
        <w:numPr>
          <w:ilvl w:val="0"/>
          <w:numId w:val="1003"/>
        </w:numPr>
        <w:pStyle w:val="Compact"/>
      </w:pPr>
      <w:r>
        <w:rPr>
          <w:bCs/>
          <w:b/>
        </w:rPr>
        <w:t xml:space="preserve">A regulatory adaptation model:</w:t>
      </w:r>
      <w:r>
        <w:t xml:space="preserve"> </w:t>
      </w:r>
      <w:r>
        <w:t xml:space="preserve">A framework showing how Chef's policy-as-code principles can implement German legal requirements as automated checks (e.g., auto-flagging non-compliant cloud storage in AWS Germany).</w:t>
      </w:r>
    </w:p>
    <w:p>
      <w:pPr>
        <w:numPr>
          <w:ilvl w:val="0"/>
          <w:numId w:val="1003"/>
        </w:numPr>
        <w:pStyle w:val="Compact"/>
      </w:pPr>
      <w:r>
        <w:rPr>
          <w:bCs/>
          <w:b/>
        </w:rPr>
        <w:t xml:space="preserve">Cost-benefit evidence:</w:t>
      </w:r>
      <w:r>
        <w:t xml:space="preserve"> </w:t>
      </w:r>
      <w:r>
        <w:t xml:space="preserve">Quantifiable data demonstrating 30-45% reduction in compliance overhead and infrastructure costs for Berlin enterprises, directly addressing the €2.1B annual infrastructure inefficiency cost identified by the Berlin Chamber of Commerce (2023).</w:t>
      </w:r>
    </w:p>
    <w:p>
      <w:pPr>
        <w:numPr>
          <w:ilvl w:val="0"/>
          <w:numId w:val="1003"/>
        </w:numPr>
        <w:pStyle w:val="Compact"/>
      </w:pPr>
      <w:r>
        <w:rPr>
          <w:bCs/>
          <w:b/>
        </w:rPr>
        <w:t xml:space="preserve">A community resource:</w:t>
      </w:r>
      <w:r>
        <w:t xml:space="preserve"> </w:t>
      </w:r>
      <w:r>
        <w:t xml:space="preserve">The open-source Berlin Compliance Toolkit will provide immediate value to 47% of German enterprises using Chef (per SUSE 2023 report), with initial adoption targeting Berlin's Tech Transfer Hub and CIC Berlin incubators.</w:t>
      </w:r>
    </w:p>
    <w:p>
      <w:pPr>
        <w:pStyle w:val="FirstParagraph"/>
      </w:pPr>
      <w:r>
        <w:t xml:space="preserve">Significantly, this work addresses a critical gap in Germany's DevOps maturity. While Berlin boasts Europe's highest tech investment growth (18% YoY), infrastructure fragmentation remains a top barrier to scaling. By positioning</w:t>
      </w:r>
      <w:r>
        <w:t xml:space="preserve"> </w:t>
      </w:r>
      <w:r>
        <w:rPr>
          <w:bCs/>
          <w:b/>
        </w:rPr>
        <w:t xml:space="preserve">Chef</w:t>
      </w:r>
      <w:r>
        <w:t xml:space="preserve"> </w:t>
      </w:r>
      <w:r>
        <w:t xml:space="preserve">as the enabler of both innovation and compliance, this thesis directly supports Berlin's "Digital City" strategy to become Europe's leading sustainable tech hub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Regulatory analysis (BDSG/BSI); Berlin enterprise outreach</w:t>
            </w:r>
          </w:p>
        </w:tc>
      </w:tr>
      <w:tr>
        <w:tc>
          <w:tcPr/>
          <w:p>
            <w:pPr>
              <w:pStyle w:val="Compact"/>
              <w:jc w:val="left"/>
            </w:pPr>
            <w:r>
              <w:t xml:space="preserve">4-6</w:t>
            </w:r>
          </w:p>
        </w:tc>
        <w:tc>
          <w:tcPr/>
          <w:p>
            <w:pPr>
              <w:pStyle w:val="Compact"/>
              <w:jc w:val="left"/>
            </w:pPr>
            <w:r>
              <w:t xml:space="preserve">Interviews with 15 Berlin organizations; Draft compliance framework</w:t>
            </w:r>
          </w:p>
        </w:tc>
      </w:tr>
      <w:tr>
        <w:tc>
          <w:tcPr/>
          <w:p>
            <w:pPr>
              <w:pStyle w:val="Compact"/>
              <w:jc w:val="left"/>
            </w:pPr>
            <w:r>
              <w:t xml:space="preserve">7-12</w:t>
            </w:r>
          </w:p>
        </w:tc>
        <w:tc>
          <w:tcPr/>
          <w:p>
            <w:pPr>
              <w:pStyle w:val="Compact"/>
              <w:jc w:val="left"/>
            </w:pPr>
            <w:r>
              <w:t xml:space="preserve">Chef implementation at three partner sites; Cookbook development</w:t>
            </w:r>
          </w:p>
        </w:tc>
      </w:tr>
      <w:tr>
        <w:tc>
          <w:tcPr/>
          <w:p>
            <w:pPr>
              <w:pStyle w:val="Compact"/>
              <w:jc w:val="left"/>
            </w:pPr>
            <w:r>
              <w:t xml:space="preserve">13-16</w:t>
            </w:r>
          </w:p>
        </w:tc>
        <w:tc>
          <w:tcPr/>
          <w:p>
            <w:pPr>
              <w:pStyle w:val="Compact"/>
              <w:jc w:val="left"/>
            </w:pPr>
            <w:r>
              <w:t xml:space="preserve">Data collection; Quantitative analysis; Toolkit refinement</w:t>
            </w:r>
          </w:p>
        </w:tc>
      </w:tr>
      <w:tr>
        <w:tc>
          <w:tcPr/>
          <w:p>
            <w:pPr>
              <w:pStyle w:val="Compact"/>
              <w:jc w:val="left"/>
            </w:pPr>
            <w:r>
              <w:t xml:space="preserve">17-18</w:t>
            </w:r>
          </w:p>
        </w:tc>
        <w:tc>
          <w:tcPr/>
          <w:p>
            <w:pPr>
              <w:pStyle w:val="Compact"/>
              <w:jc w:val="left"/>
            </w:pPr>
            <w:r>
              <w:t xml:space="preserve">Dissertation writing; Community workshop in Berlin (with TechQuartier)</w:t>
            </w:r>
          </w:p>
        </w:tc>
      </w:tr>
    </w:tbl>
    <w:bookmarkEnd w:id="26"/>
    <w:bookmarkStart w:id="27" w:name="conclusion"/>
    <w:p>
      <w:pPr>
        <w:pStyle w:val="Heading2"/>
      </w:pPr>
      <w:r>
        <w:t xml:space="preserve">8. Conclusion</w:t>
      </w:r>
    </w:p>
    <w:p>
      <w:pPr>
        <w:pStyle w:val="FirstParagraph"/>
      </w:pPr>
      <w:r>
        <w:t xml:space="preserve">In the heart of Europe's fastest-growing tech ecosystem, Berlin's enterprises require infrastructure solutions that marry technological agility with German legal precision. This thesis proposal outlines a rigorous investigation into implementing</w:t>
      </w:r>
      <w:r>
        <w:t xml:space="preserve"> </w:t>
      </w:r>
      <w:r>
        <w:rPr>
          <w:bCs/>
          <w:b/>
        </w:rPr>
        <w:t xml:space="preserve">Chef</w:t>
      </w:r>
      <w:r>
        <w:t xml:space="preserve"> </w:t>
      </w:r>
      <w:r>
        <w:t xml:space="preserve">as the cornerstone of compliant automation within</w:t>
      </w:r>
      <w:r>
        <w:t xml:space="preserve"> </w:t>
      </w:r>
      <w:r>
        <w:rPr>
          <w:bCs/>
          <w:b/>
        </w:rPr>
        <w:t xml:space="preserve">Germany Berlin</w:t>
      </w:r>
      <w:r>
        <w:t xml:space="preserve">. By centering research on real-world Berlin challenges—from GDPR data handling to local cloud adoption—the study promises not only academic contributions but immediate, tangible value for the city's 70,000+ IT professionals. The resulting frameworks and tools will empower Berlin to lead in Europe's next-generation DevOps maturity, turning regulatory complexity into a competitive advantage while ensuring infrastructure that scales with the city's ambition. This</w:t>
      </w:r>
      <w:r>
        <w:t xml:space="preserve"> </w:t>
      </w:r>
      <w:r>
        <w:rPr>
          <w:bCs/>
          <w:b/>
        </w:rPr>
        <w:t xml:space="preserve">Thesis Proposal</w:t>
      </w:r>
      <w:r>
        <w:t xml:space="preserve"> </w:t>
      </w:r>
      <w:r>
        <w:t xml:space="preserve">thus represents a critical step toward making Berlin not just a hub for innovation, but an exemplar of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Enterprise Infrastructure Management in Germany Berlin</dc:title>
  <dc:creator/>
  <dc:language>en</dc:language>
  <cp:keywords/>
  <dcterms:created xsi:type="dcterms:W3CDTF">2026-04-24T02:41:06Z</dcterms:created>
  <dcterms:modified xsi:type="dcterms:W3CDTF">2026-04-24T02:41:06Z</dcterms:modified>
</cp:coreProperties>
</file>

<file path=docProps/custom.xml><?xml version="1.0" encoding="utf-8"?>
<Properties xmlns="http://schemas.openxmlformats.org/officeDocument/2006/custom-properties" xmlns:vt="http://schemas.openxmlformats.org/officeDocument/2006/docPropsVTypes"/>
</file>