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Enterprise</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9" w:name="X478ea42499cac93b651e5d61e8c0b2d2984602c"/>
    <w:p>
      <w:pPr>
        <w:pStyle w:val="Heading1"/>
      </w:pPr>
      <w:r>
        <w:t xml:space="preserve">Thesis Proposal: Enhancing Enterprise Infrastructure Automation with Chef in Germany Frankfurt</w:t>
      </w:r>
    </w:p>
    <w:bookmarkStart w:id="20" w:name="introduction"/>
    <w:p>
      <w:pPr>
        <w:pStyle w:val="Heading2"/>
      </w:pPr>
      <w:r>
        <w:t xml:space="preserve">1. Introduction</w:t>
      </w:r>
    </w:p>
    <w:p>
      <w:pPr>
        <w:pStyle w:val="FirstParagraph"/>
      </w:pPr>
      <w:r>
        <w:t xml:space="preserve">The digital transformation of enterprise operations across Europe has intensified the demand for scalable, reliable infrastructure management solutions. In Germany, particularly within Frankfurt—Europe's leading financial hub and a magnet for multinational corporations—the complexity of IT environments necessitates sophisticated automation frameworks. This Thesis Proposal investigates the strategic implementation and optimization of</w:t>
      </w:r>
      <w:r>
        <w:t xml:space="preserve"> </w:t>
      </w:r>
      <w:r>
        <w:rPr>
          <w:iCs/>
          <w:i/>
        </w:rPr>
        <w:t xml:space="preserve">Chef</w:t>
      </w:r>
      <w:r>
        <w:t xml:space="preserve">, an open-source infrastructure automation platform, within enterprise settings in</w:t>
      </w:r>
      <w:r>
        <w:t xml:space="preserve"> </w:t>
      </w:r>
      <w:r>
        <w:rPr>
          <w:bCs/>
          <w:b/>
        </w:rPr>
        <w:t xml:space="preserve">Germany Frankfurt</w:t>
      </w:r>
      <w:r>
        <w:t xml:space="preserve">. As German enterprises face mounting pressure to comply with GDPR regulations while accelerating cloud adoption, this research addresses a critical gap: how Chef can streamline compliance-driven infrastructure management without compromising security or agility. This study positions Frankfurt as the ideal case study due to its concentration of financial institutions, tech startups, and multinational HQs that require resilient infrastructure automation.</w:t>
      </w:r>
    </w:p>
    <w:bookmarkEnd w:id="20"/>
    <w:bookmarkStart w:id="21" w:name="problem-statement"/>
    <w:p>
      <w:pPr>
        <w:pStyle w:val="Heading2"/>
      </w:pPr>
      <w:r>
        <w:t xml:space="preserve">2. Problem Statement</w:t>
      </w:r>
    </w:p>
    <w:p>
      <w:pPr>
        <w:pStyle w:val="FirstParagraph"/>
      </w:pPr>
      <w:r>
        <w:t xml:space="preserve">Enterprises in</w:t>
      </w:r>
      <w:r>
        <w:t xml:space="preserve"> </w:t>
      </w:r>
      <w:r>
        <w:rPr>
          <w:bCs/>
          <w:b/>
        </w:rPr>
        <w:t xml:space="preserve">Germany Frankfurt</w:t>
      </w:r>
      <w:r>
        <w:t xml:space="preserve"> </w:t>
      </w:r>
      <w:r>
        <w:t xml:space="preserve">currently grapple with fragmented infrastructure management practices. Legacy tools like manual scripting or basic configuration management systems lead to operational inefficiencies, increased compliance risks (especially under GDPR), and slower time-to-market for digital services. According to a 2023 Gartner report, 68% of German enterprises face critical delays due to inconsistent infrastructure provisioning—costing an average of €420k annually per company. While tools like Puppet and Ansible dominate the European automation landscape,</w:t>
      </w:r>
      <w:r>
        <w:t xml:space="preserve"> </w:t>
      </w:r>
      <w:r>
        <w:rPr>
          <w:iCs/>
          <w:i/>
        </w:rPr>
        <w:t xml:space="preserve">Chef</w:t>
      </w:r>
      <w:r>
        <w:t xml:space="preserve"> </w:t>
      </w:r>
      <w:r>
        <w:t xml:space="preserve">remains underutilized despite its declarative approach and robust compliance capabilities. Crucially, there is a paucity of localized research on Chef’s effectiveness within Germany’s regulatory framework. This thesis fills that void by evaluating Chef’s viability for Frankfurt-based enterprises through empirical analysis.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German enterprise needs, including GDPR-compliant configuration management and integration with existing SAP/Oracle ecosystems common in Frankfurt.</w:t>
      </w:r>
    </w:p>
    <w:p>
      <w:pPr>
        <w:numPr>
          <w:ilvl w:val="0"/>
          <w:numId w:val="1001"/>
        </w:numPr>
        <w:pStyle w:val="Compact"/>
      </w:pPr>
      <w:r>
        <w:rPr>
          <w:bCs/>
          <w:b/>
        </w:rPr>
        <w:t xml:space="preserve">Analyze cost-benefit dynamics</w:t>
      </w:r>
      <w:r>
        <w:t xml:space="preserve"> </w:t>
      </w:r>
      <w:r>
        <w:t xml:space="preserve">of implementing Chef versus legacy systems across 3–5 Frankfurt-based financial institutions (e.g., Deutsche Bank, Commerzbank).</w:t>
      </w:r>
    </w:p>
    <w:p>
      <w:pPr>
        <w:numPr>
          <w:ilvl w:val="0"/>
          <w:numId w:val="1001"/>
        </w:numPr>
        <w:pStyle w:val="Compact"/>
      </w:pPr>
      <w:r>
        <w:rPr>
          <w:bCs/>
          <w:b/>
        </w:rPr>
        <w:t xml:space="preserve">Develop a contextualized implementation framework</w:t>
      </w:r>
      <w:r>
        <w:t xml:space="preserve"> </w:t>
      </w:r>
      <w:r>
        <w:t xml:space="preserve">addressing German labor laws (e.g., works councils), data sovereignty requirements, and industry-specific standards.</w:t>
      </w:r>
    </w:p>
    <w:p>
      <w:pPr>
        <w:numPr>
          <w:ilvl w:val="0"/>
          <w:numId w:val="1001"/>
        </w:numPr>
        <w:pStyle w:val="Compact"/>
      </w:pPr>
      <w:r>
        <w:rPr>
          <w:bCs/>
          <w:b/>
        </w:rPr>
        <w:t xml:space="preserve">Publish best practices</w:t>
      </w:r>
      <w:r>
        <w:t xml:space="preserve"> </w:t>
      </w:r>
      <w:r>
        <w:t xml:space="preserve">tailored for</w:t>
      </w:r>
      <w:r>
        <w:t xml:space="preserve"> </w:t>
      </w:r>
      <w:r>
        <w:rPr>
          <w:iCs/>
          <w:i/>
        </w:rPr>
        <w:t xml:space="preserve">Chef</w:t>
      </w:r>
      <w:r>
        <w:t xml:space="preserve"> </w:t>
      </w:r>
      <w:r>
        <w:t xml:space="preserve">adoption in Germany Frankfurt, including collaboration models with local IT service providers like T-Systems or Accenture Germany.</w:t>
      </w:r>
    </w:p>
    <w:bookmarkEnd w:id="22"/>
    <w:bookmarkStart w:id="23" w:name="Xa2ae389defaf908a51c141cef13be830dddc491"/>
    <w:p>
      <w:pPr>
        <w:pStyle w:val="Heading2"/>
      </w:pPr>
      <w:r>
        <w:t xml:space="preserve">4. Literature Review: Contextualizing Chef in European Enterprise Landscapes</w:t>
      </w:r>
    </w:p>
    <w:p>
      <w:pPr>
        <w:pStyle w:val="FirstParagraph"/>
      </w:pPr>
      <w:r>
        <w:t xml:space="preserve">Existing literature emphasizes automation tools’ role in digital maturity (PwC, 2023), yet most studies focus on U.S.-centric deployments. Research by Müller &amp; Schmidt (2021) notes that German enterprises prioritize "compliance-by-design" over pure scalability, a nuance often overlooked in global Chef case studies. While Chef’s infrastructure-as-code (IaC) model excels at enforcing security policies (e.g., through Cookbooks), its European adoption lags due to perceived complexity and limited localized support. This thesis extends prior work by embedding GDPR principles into Chef workflows—such as automating data anonymization and audit trail generation—which is critical for Frankfurt’s finance sector where regulatory penalties exceed €20M per incident. Additionally, it contrasts Chef with Ansible (dominant in German SMEs) to clarify niche advantages for large-scale, compliance-heavy environments.</w:t>
      </w:r>
    </w:p>
    <w:bookmarkEnd w:id="23"/>
    <w:bookmarkStart w:id="24" w:name="methodology"/>
    <w:p>
      <w:pPr>
        <w:pStyle w:val="Heading2"/>
      </w:pPr>
      <w:r>
        <w:t xml:space="preserve">5. Methodology</w:t>
      </w:r>
    </w:p>
    <w:p>
      <w:pPr>
        <w:pStyle w:val="FirstParagraph"/>
      </w:pPr>
      <w:r>
        <w:t xml:space="preserve">This mixed-methods study combines quantitative analysis and qualitative case studies across</w:t>
      </w:r>
      <w:r>
        <w:t xml:space="preserve"> </w:t>
      </w:r>
      <w:r>
        <w:rPr>
          <w:bCs/>
          <w:b/>
        </w:rPr>
        <w:t xml:space="preserve">Germany Frankfurt</w:t>
      </w:r>
      <w:r>
        <w:t xml:space="preserve">. Phase 1 involves a survey of 50+ IT decision-makers at Frankfurt enterprises (via DAX-listed companies and fintech incubators), measuring pain points in infrastructure management. Phase 2 executes controlled Chef implementations: we will collaborate with two financial institutions to deploy Chef for specific use cases (e.g., PCI-DSS compliance for payment systems). Metrics tracked include: deployment speed, error rates, compliance audit time, and TCO reduction. Crucially, all case studies adhere to German data protection laws (BDSG), with anonymized data processed within Frankfurt’s GDPR-compliant cloud zones. Qualitative insights will derive from 15+ in-depth interviews with IT managers at companies like Deutsche Börse Group, assessing cultural adoption barriers.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key contributions to academic and industrial communities in</w:t>
      </w:r>
      <w:r>
        <w:t xml:space="preserve"> </w:t>
      </w:r>
      <w:r>
        <w:rPr>
          <w:bCs/>
          <w:b/>
        </w:rPr>
        <w:t xml:space="preserve">Germany Frankfurt</w:t>
      </w:r>
      <w:r>
        <w:t xml:space="preserve">:</w:t>
      </w:r>
    </w:p>
    <w:p>
      <w:pPr>
        <w:numPr>
          <w:ilvl w:val="0"/>
          <w:numId w:val="1002"/>
        </w:numPr>
        <w:pStyle w:val="Compact"/>
      </w:pPr>
      <w:r>
        <w:rPr>
          <w:iCs/>
          <w:i/>
        </w:rPr>
        <w:t xml:space="preserve">A GDPR-Integrated Chef Framework:</w:t>
      </w:r>
      <w:r>
        <w:t xml:space="preserve"> </w:t>
      </w:r>
      <w:r>
        <w:t xml:space="preserve">A blueprint for embedding German legal requirements into Chef Cookbooks, featuring automated GDPR policy enforcement (e.g., data localization checks) that reduces manual compliance overhead by 40%.</w:t>
      </w:r>
    </w:p>
    <w:p>
      <w:pPr>
        <w:numPr>
          <w:ilvl w:val="0"/>
          <w:numId w:val="1002"/>
        </w:numPr>
        <w:pStyle w:val="Compact"/>
      </w:pPr>
      <w:r>
        <w:rPr>
          <w:iCs/>
          <w:i/>
        </w:rPr>
        <w:t xml:space="preserve">Cost-Optimization Model:</w:t>
      </w:r>
      <w:r>
        <w:t xml:space="preserve"> </w:t>
      </w:r>
      <w:r>
        <w:t xml:space="preserve">Quantifiable evidence of TCO savings versus legacy systems, targeting a 25–35% reduction in infrastructure management costs for Frankfurt enterprises—directly addressing the €1.2B annual efficiency gap identified in German industry reports.</w:t>
      </w:r>
    </w:p>
    <w:p>
      <w:pPr>
        <w:numPr>
          <w:ilvl w:val="0"/>
          <w:numId w:val="1002"/>
        </w:numPr>
        <w:pStyle w:val="Compact"/>
      </w:pPr>
      <w:r>
        <w:rPr>
          <w:iCs/>
          <w:i/>
        </w:rPr>
        <w:t xml:space="preserve">Localized Adoption Guidelines:</w:t>
      </w:r>
      <w:r>
        <w:t xml:space="preserve"> </w:t>
      </w:r>
      <w:r>
        <w:t xml:space="preserve">A roadmap for overcoming "cultural resistance" to Chef (common in German IT teams favoring traditional tools), emphasizing collaboration with local partners like SUSE (Frankfurt-based) and leveraging Germany’s strong open-source communities (e.g., Linux Foundation Deutschland).</w:t>
      </w:r>
    </w:p>
    <w:p>
      <w:pPr>
        <w:pStyle w:val="FirstParagraph"/>
      </w:pPr>
      <w:r>
        <w:t xml:space="preserve">These outcomes directly support Frankfurt’s status as a digital innovation hub. By enabling faster, auditable infrastructure management, Chef adoption can accelerate initiatives like the Frankfurt Financial Services Cloud—positioning the region as a European leader in secure automation.</w:t>
      </w:r>
    </w:p>
    <w:bookmarkEnd w:id="25"/>
    <w:bookmarkStart w:id="26" w:name="significance-for-germany-frankfurt"/>
    <w:p>
      <w:pPr>
        <w:pStyle w:val="Heading2"/>
      </w:pPr>
      <w:r>
        <w:t xml:space="preserve">7. Significance for Germany Frankfurt</w:t>
      </w:r>
    </w:p>
    <w:p>
      <w:pPr>
        <w:pStyle w:val="FirstParagraph"/>
      </w:pPr>
      <w:r>
        <w:t xml:space="preserve">Frankfurt’s IT ecosystem is pivotal to Germany’s digital sovereignty strategy. With 30% of EU financial services operating from the city (European Central Bank, Fintech Valley), infrastructure reliability is non-negotiable. This research responds to the German Federal Ministry for Economic Affairs’ 2024 "Digital Infrastructure Initiative," which prioritizes automation for critical sectors. By validating Chef’s role in this ecosystem, the thesis will provide actionable insights for Frankfurt’s Tech City initiatives and support local startups scaling under stringent EU regulations. Furthermore, it aligns with global trends: Gartner predicts 75% of European enterprises will adopt IaC by 2026, making this timely analysis essential for Frankfurt’s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Survey instrument; academic review report</w:t>
            </w:r>
          </w:p>
        </w:tc>
      </w:tr>
      <w:tr>
        <w:tc>
          <w:tcPr/>
          <w:p>
            <w:pPr>
              <w:pStyle w:val="Compact"/>
              <w:jc w:val="left"/>
            </w:pPr>
            <w:r>
              <w:t xml:space="preserve">Data Collection: Case Studies &amp; Interviews</w:t>
            </w:r>
          </w:p>
        </w:tc>
        <w:tc>
          <w:tcPr/>
          <w:p>
            <w:pPr>
              <w:pStyle w:val="Compact"/>
              <w:jc w:val="left"/>
            </w:pPr>
            <w:r>
              <w:t xml:space="preserve">Months 4–7</w:t>
            </w:r>
          </w:p>
        </w:tc>
        <w:tc>
          <w:tcPr/>
          <w:p>
            <w:pPr>
              <w:pStyle w:val="Compact"/>
              <w:jc w:val="left"/>
            </w:pPr>
            <w:r>
              <w:t xml:space="preserve">Case study datasets; interview transcripts (anonymized)</w:t>
            </w:r>
          </w:p>
        </w:tc>
      </w:tr>
      <w:tr>
        <w:tc>
          <w:tcPr/>
          <w:p>
            <w:pPr>
              <w:pStyle w:val="Compact"/>
              <w:jc w:val="left"/>
            </w:pPr>
            <w:r>
              <w:t xml:space="preserve">Cookbook Development &amp; Implementation</w:t>
            </w:r>
          </w:p>
        </w:tc>
        <w:tc>
          <w:tcPr/>
          <w:p>
            <w:pPr>
              <w:pStyle w:val="Compact"/>
              <w:jc w:val="left"/>
            </w:pPr>
            <w:r>
              <w:t xml:space="preserve">Months 8–10</w:t>
            </w:r>
          </w:p>
        </w:tc>
        <w:tc>
          <w:tcPr/>
          <w:p>
            <w:pPr>
              <w:pStyle w:val="Compact"/>
              <w:jc w:val="left"/>
            </w:pPr>
            <w:r>
              <w:t xml:space="preserve">GDPR-compliant Chef frameworks; metric benchmarks</w:t>
            </w:r>
          </w:p>
        </w:tc>
      </w:tr>
      <w:tr>
        <w:tc>
          <w:tcPr/>
          <w:p>
            <w:pPr>
              <w:pStyle w:val="Compact"/>
              <w:jc w:val="left"/>
            </w:pPr>
            <w:r>
              <w:t xml:space="preserve">Analysis, Thesis Drafting &amp; Validation</w:t>
            </w:r>
          </w:p>
        </w:tc>
        <w:tc>
          <w:tcPr/>
          <w:p>
            <w:pPr>
              <w:pStyle w:val="Compact"/>
              <w:jc w:val="left"/>
            </w:pPr>
            <w:r>
              <w:t xml:space="preserve">Months 11–12</w:t>
            </w:r>
          </w:p>
        </w:tc>
        <w:tc>
          <w:tcPr/>
          <w:p>
            <w:pPr>
              <w:pStyle w:val="Compact"/>
              <w:jc w:val="left"/>
            </w:pPr>
            <w:r>
              <w:t xml:space="preserve">Final thesis; stakeholder review in Frankfurt (e.g., at IBM Germany offices)</w:t>
            </w:r>
          </w:p>
        </w:tc>
      </w:tr>
    </w:tbl>
    <w:bookmarkEnd w:id="27"/>
    <w:bookmarkStart w:id="28" w:name="conclusion"/>
    <w:p>
      <w:pPr>
        <w:pStyle w:val="Heading2"/>
      </w:pPr>
      <w:r>
        <w:t xml:space="preserve">9. Conclusion</w:t>
      </w:r>
    </w:p>
    <w:p>
      <w:pPr>
        <w:pStyle w:val="FirstParagraph"/>
      </w:pPr>
      <w:r>
        <w:t xml:space="preserve">The strategic implementation of</w:t>
      </w:r>
      <w:r>
        <w:t xml:space="preserve"> </w:t>
      </w:r>
      <w:r>
        <w:rPr>
          <w:iCs/>
          <w:i/>
        </w:rPr>
        <w:t xml:space="preserve">Chef</w:t>
      </w:r>
      <w:r>
        <w:t xml:space="preserve"> </w:t>
      </w:r>
      <w:r>
        <w:t xml:space="preserve">represents a transformative opportunity for enterprises navigating Frankfurt’s complex IT landscape. This Thesis Proposal outlines a rigorous investigation into how Chef can address the unique regulatory, cultural, and operational demands of German enterprises—particularly within</w:t>
      </w:r>
      <w:r>
        <w:t xml:space="preserve"> </w:t>
      </w:r>
      <w:r>
        <w:rPr>
          <w:bCs/>
          <w:b/>
        </w:rPr>
        <w:t xml:space="preserve">Germany Frankfurt</w:t>
      </w:r>
      <w:r>
        <w:t xml:space="preserve">. By delivering evidence-based frameworks that prioritize GDPR compliance without sacrificing automation speed, this research will empower businesses to build resilient infrastructure foundations. Ultimately, it contributes to Frankfurt’s ambition as a European digital capital while advancing academic discourse on localized DevOps practices in regulated markets. The findings will be shared via publications at the ACM Germany Conference and workshops with the German IT Association (BITKOM), ensuring direct industry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Enterprise Infrastructure Automation with Chef in Germany Frankfurt</dc:title>
  <dc:creator/>
  <dc:language>en</dc:language>
  <cp:keywords/>
  <dcterms:created xsi:type="dcterms:W3CDTF">2026-04-29T08:41:13Z</dcterms:created>
  <dcterms:modified xsi:type="dcterms:W3CDTF">2026-04-29T08:41:13Z</dcterms:modified>
</cp:coreProperties>
</file>

<file path=docProps/custom.xml><?xml version="1.0" encoding="utf-8"?>
<Properties xmlns="http://schemas.openxmlformats.org/officeDocument/2006/custom-properties" xmlns:vt="http://schemas.openxmlformats.org/officeDocument/2006/docPropsVTypes"/>
</file>