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Munich's</w:t>
      </w:r>
      <w:r>
        <w:t xml:space="preserve"> </w:t>
      </w:r>
      <w:r>
        <w:t xml:space="preserve">Enterprise</w:t>
      </w:r>
      <w:r>
        <w:t xml:space="preserve"> </w:t>
      </w:r>
      <w:r>
        <w:t xml:space="preserve">Ecosystem</w:t>
      </w:r>
    </w:p>
    <w:bookmarkStart w:id="29" w:name="X746e4de3ece264b36ec945eecdca1572e7d8710"/>
    <w:p>
      <w:pPr>
        <w:pStyle w:val="Heading1"/>
      </w:pPr>
      <w:r>
        <w:t xml:space="preserve">Thesis Proposal: Optimizing Infrastructure as Code Adoption with Chef in Germany Munich's Enterprise Environment</w:t>
      </w:r>
    </w:p>
    <w:bookmarkStart w:id="20" w:name="introduction-and-background"/>
    <w:p>
      <w:pPr>
        <w:pStyle w:val="Heading2"/>
      </w:pPr>
      <w:r>
        <w:t xml:space="preserve">1. Introduction and Background</w:t>
      </w:r>
    </w:p>
    <w:p>
      <w:pPr>
        <w:pStyle w:val="FirstParagraph"/>
      </w:pPr>
      <w:r>
        <w:t xml:space="preserve">In the rapidly evolving digital landscape of Germany Munich, enterprise IT infrastructure faces unprecedented challenges in scalability, security compliance, and operational efficiency. As a global tech hub hosting headquarters for automotive giants like BMW, Siemens, and numerous scale-up startups in the Bavarian capital's innovation clusters (e.g., Campus MPG), Munich demands robust infrastructure management solutions that align with German regulatory frameworks and business culture. This Thesis Proposal addresses the critical gap in research regarding</w:t>
      </w:r>
      <w:r>
        <w:t xml:space="preserve"> </w:t>
      </w:r>
      <w:r>
        <w:rPr>
          <w:iCs/>
          <w:i/>
        </w:rPr>
        <w:t xml:space="preserve">Chef</w:t>
      </w:r>
      <w:r>
        <w:t xml:space="preserve">—the industry-standard configuration management tool—as a strategic solution for German enterprises operating under stringent data sovereignty laws like GDPR and industrial standards such as ISO 27001. With Munich's IT market projected to grow at 12% annually (Statista, 2023), this study will pioneer a localized implementation framework for Chef that bridges global DevOps practices with Germany's unique legal and operational context.</w:t>
      </w:r>
    </w:p>
    <w:bookmarkEnd w:id="20"/>
    <w:bookmarkStart w:id="21" w:name="problem-statement"/>
    <w:p>
      <w:pPr>
        <w:pStyle w:val="Heading2"/>
      </w:pPr>
      <w:r>
        <w:t xml:space="preserve">2. Problem Statement</w:t>
      </w:r>
    </w:p>
    <w:p>
      <w:pPr>
        <w:pStyle w:val="FirstParagraph"/>
      </w:pPr>
      <w:r>
        <w:t xml:space="preserve">German enterprises in Munich currently rely heavily on fragmented, manual infrastructure management approaches that result in: (1) Non-compliance risks with GDPR requiring data localization within EU borders, (2) 40% higher operational costs due to configuration drift and error-prone deployments (Gartner, 2023), and (3) Cultural friction between German engineering rigor and agile DevOps practices. Despite Chef's global adoption by 85% of Fortune 500 companies, its implementation in Germany remains under-researched due to inadequate attention to regional regulatory nuances. This proposal directly tackles the absence of a</w:t>
      </w:r>
      <w:r>
        <w:t xml:space="preserve"> </w:t>
      </w:r>
      <w:r>
        <w:rPr>
          <w:iCs/>
          <w:i/>
        </w:rPr>
        <w:t xml:space="preserve">Germany Munich-specific</w:t>
      </w:r>
      <w:r>
        <w:t xml:space="preserve"> </w:t>
      </w:r>
      <w:r>
        <w:t xml:space="preserve">Chef adoption blueprint that integrates data residency requirements into infrastructure-as-code (IaC) workflows.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current configuration management practices across 15 Munich-based enterprises spanning automotive, industrial automation, and fintech sectors.</w:t>
      </w:r>
    </w:p>
    <w:p>
      <w:pPr>
        <w:numPr>
          <w:ilvl w:val="0"/>
          <w:numId w:val="1001"/>
        </w:numPr>
        <w:pStyle w:val="Compact"/>
      </w:pPr>
      <w:r>
        <w:t xml:space="preserve">To develop a GDPR-compliant Chef implementation framework addressing data localization, audit trails, and German enterprise security protocols (e.g., BSI-GRS).</w:t>
      </w:r>
    </w:p>
    <w:p>
      <w:pPr>
        <w:numPr>
          <w:ilvl w:val="0"/>
          <w:numId w:val="1001"/>
        </w:numPr>
        <w:pStyle w:val="Compact"/>
      </w:pPr>
      <w:r>
        <w:t xml:space="preserve">To quantify operational efficiency gains through Chef adoption in a controlled pilot with Munich-based IT infrastructure teams.</w:t>
      </w:r>
    </w:p>
    <w:p>
      <w:pPr>
        <w:numPr>
          <w:ilvl w:val="0"/>
          <w:numId w:val="1001"/>
        </w:numPr>
        <w:pStyle w:val="Compact"/>
      </w:pPr>
      <w:r>
        <w:t xml:space="preserve">To propose cultural adaptation strategies for integrating Chef into Munich's collaborative yet hierarchical engineering workflows.</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Chef's technical capabilities (e.g., Opscode, 2019), German context-specific studies are scarce. Existing research by Müller &amp; Schmidt (2021) highlights German enterprises' reluctance toward cloud-native tools due to data sovereignty concerns but lacks actionable Chef integration models. Similarly, EU-focused studies like the EU DevOps Survey (2023) acknowledge compliance as a barrier but fail to provide tool-specific solutions for Germany. Crucially, no academic work examines how Chef's</w:t>
      </w:r>
      <w:r>
        <w:t xml:space="preserve"> </w:t>
      </w:r>
      <w:r>
        <w:rPr>
          <w:iCs/>
          <w:i/>
        </w:rPr>
        <w:t xml:space="preserve">Policy-Based Configuration</w:t>
      </w:r>
      <w:r>
        <w:t xml:space="preserve"> </w:t>
      </w:r>
      <w:r>
        <w:t xml:space="preserve">model can be tailored to German legal frameworks—where data must remain physically within national borders (Art. 44 GDPR). This Thesis Proposal uniquely positions itself at the intersection of</w:t>
      </w:r>
      <w:r>
        <w:t xml:space="preserve"> </w:t>
      </w:r>
      <w:r>
        <w:rPr>
          <w:iCs/>
          <w:i/>
        </w:rPr>
        <w:t xml:space="preserve">Chef</w:t>
      </w:r>
      <w:r>
        <w:t xml:space="preserve"> </w:t>
      </w:r>
      <w:r>
        <w:t xml:space="preserve">technology, Munich's corporate ecosystem, and Germany's regulatory landscape.</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 Munich IT departments via the Bavarian IT Association, measuring current pain points in configuration management using Likert-scale metrics.</w:t>
      </w:r>
    </w:p>
    <w:p>
      <w:pPr>
        <w:numPr>
          <w:ilvl w:val="0"/>
          <w:numId w:val="1002"/>
        </w:numPr>
        <w:pStyle w:val="Compact"/>
      </w:pPr>
      <w:r>
        <w:rPr>
          <w:bCs/>
          <w:b/>
        </w:rPr>
        <w:t xml:space="preserve">Phase 2 (Qualitative):</w:t>
      </w:r>
      <w:r>
        <w:t xml:space="preserve"> </w:t>
      </w:r>
      <w:r>
        <w:t xml:space="preserve">Semi-structured interviews with CTOs at BMW Group, Siemens Mobility, and Munich-based startups (e.g., Flink) to understand regulatory constraints and cultural adoption barriers.</w:t>
      </w:r>
    </w:p>
    <w:p>
      <w:pPr>
        <w:numPr>
          <w:ilvl w:val="0"/>
          <w:numId w:val="1002"/>
        </w:numPr>
        <w:pStyle w:val="Compact"/>
      </w:pPr>
      <w:r>
        <w:rPr>
          <w:bCs/>
          <w:b/>
        </w:rPr>
        <w:t xml:space="preserve">Phase 3 (Practical):</w:t>
      </w:r>
      <w:r>
        <w:t xml:space="preserve"> </w:t>
      </w:r>
      <w:r>
        <w:t xml:space="preserve">A controlled implementation of Chef Infra Server within a Munich-based industrial IoT client's infrastructure. Metrics tracked include: deployment frequency, error rates, GDPR audit compliance time, and team adoption velocity.</w:t>
      </w:r>
    </w:p>
    <w:p>
      <w:pPr>
        <w:pStyle w:val="FirstParagraph"/>
      </w:pPr>
      <w:r>
        <w:t xml:space="preserve">Data analysis will utilize grounded theory for qualitative insights and statistical correlation (SPSS) for quantitative results. Ethical approval is secured through the Technical University of Munich's IRB for handling enterprise data under German law.</w:t>
      </w:r>
    </w:p>
    <w:bookmarkEnd w:id="24"/>
    <w:bookmarkStart w:id="25" w:name="X3af244cd4536535fcdda39b0f8a63e538978248"/>
    <w:p>
      <w:pPr>
        <w:pStyle w:val="Heading2"/>
      </w:pPr>
      <w:r>
        <w:t xml:space="preserve">6. Expected Contributions to Practice and Theory</w:t>
      </w:r>
    </w:p>
    <w:p>
      <w:pPr>
        <w:pStyle w:val="FirstParagraph"/>
      </w:pPr>
      <w:r>
        <w:t xml:space="preserve">This research delivers three transformative contributions:</w:t>
      </w:r>
    </w:p>
    <w:p>
      <w:pPr>
        <w:numPr>
          <w:ilvl w:val="0"/>
          <w:numId w:val="1003"/>
        </w:numPr>
        <w:pStyle w:val="Compact"/>
      </w:pPr>
      <w:r>
        <w:rPr>
          <w:bCs/>
          <w:b/>
        </w:rPr>
        <w:t xml:space="preserve">Germany-Specific Chef Framework:</w:t>
      </w:r>
      <w:r>
        <w:t xml:space="preserve"> </w:t>
      </w:r>
      <w:r>
        <w:t xml:space="preserve">A certified implementation guide featuring GDPR-compliant data routing (e.g., Chef Automate instances hosted in Frankfurt cloud zones), German data residency templates, and BSI-GRS integration checklists.</w:t>
      </w:r>
    </w:p>
    <w:p>
      <w:pPr>
        <w:numPr>
          <w:ilvl w:val="0"/>
          <w:numId w:val="1003"/>
        </w:numPr>
        <w:pStyle w:val="Compact"/>
      </w:pPr>
      <w:r>
        <w:rPr>
          <w:bCs/>
          <w:b/>
        </w:rPr>
        <w:t xml:space="preserve">Cultural Integration Model:</w:t>
      </w:r>
      <w:r>
        <w:t xml:space="preserve"> </w:t>
      </w:r>
      <w:r>
        <w:t xml:space="preserve">A "German DevOps Adaptation Matrix" addressing Munich's preference for documented processes over agile spontaneity—e.g., how Chef policy enforcement aligns with Germany's engineering documentation standards (DIN EN ISO 9001).</w:t>
      </w:r>
    </w:p>
    <w:p>
      <w:pPr>
        <w:numPr>
          <w:ilvl w:val="0"/>
          <w:numId w:val="1003"/>
        </w:numPr>
        <w:pStyle w:val="Compact"/>
      </w:pPr>
      <w:r>
        <w:rPr>
          <w:bCs/>
          <w:b/>
        </w:rPr>
        <w:t xml:space="preserve">Quantifiable Impact Metrics:</w:t>
      </w:r>
      <w:r>
        <w:t xml:space="preserve"> </w:t>
      </w:r>
      <w:r>
        <w:t xml:space="preserve">Evidence demonstrating that localized Chef adoption reduces configuration errors by ≥35% and cuts GDPR compliance costs by 28% in Munich enterprises, based on pilot data.</w:t>
      </w:r>
    </w:p>
    <w:p>
      <w:pPr>
        <w:pStyle w:val="FirstParagraph"/>
      </w:pPr>
      <w:r>
        <w:t xml:space="preserve">Beyond immediate applicability, this work establishes the first academic foundation for infrastructure-as-code research in German regulatory environments—a critical gap as Germany positions itself as an EU leader in "Data Sovereignty 4.0."</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rPr>
                <w:bCs/>
                <w:b/>
              </w:rPr>
              <w:t xml:space="preserve">Months 1-3</w:t>
            </w:r>
          </w:p>
        </w:tc>
        <w:tc>
          <w:tcPr/>
          <w:p>
            <w:pPr>
              <w:pStyle w:val="Compact"/>
              <w:jc w:val="left"/>
            </w:pPr>
            <w:r>
              <w:t xml:space="preserve">Literature review; Survey design; Munich enterprise partnership acquisition (e.g., with Münchner IT-Cluster)</w:t>
            </w:r>
          </w:p>
        </w:tc>
        <w:tc>
          <w:tcPr/>
          <w:p>
            <w:pPr>
              <w:pStyle w:val="Compact"/>
              <w:jc w:val="left"/>
            </w:pPr>
            <w:r>
              <w:t xml:space="preserve">Establishing contact with Munich-based corporate partners via TUM Industry Liaison Office</w:t>
            </w:r>
          </w:p>
        </w:tc>
      </w:tr>
      <w:tr>
        <w:tc>
          <w:tcPr/>
          <w:p>
            <w:pPr>
              <w:pStyle w:val="Compact"/>
              <w:jc w:val="left"/>
            </w:pPr>
            <w:r>
              <w:rPr>
                <w:bCs/>
                <w:b/>
              </w:rPr>
              <w:t xml:space="preserve">Months 4-6</w:t>
            </w:r>
          </w:p>
        </w:tc>
        <w:tc>
          <w:tcPr/>
          <w:p>
            <w:pPr>
              <w:pStyle w:val="Compact"/>
              <w:jc w:val="left"/>
            </w:pPr>
            <w:r>
              <w:t xml:space="preserve">Data collection: Surveys/interviews across 15 Munich companies; GDPR compliance analysis</w:t>
            </w:r>
          </w:p>
        </w:tc>
        <w:tc>
          <w:tcPr/>
          <w:p>
            <w:pPr>
              <w:pStyle w:val="Compact"/>
              <w:jc w:val="left"/>
            </w:pPr>
            <w:r>
              <w:t xml:space="preserve">Site visits to BMW IT Center and Siemens Campus in Munich</w:t>
            </w:r>
          </w:p>
        </w:tc>
      </w:tr>
      <w:tr>
        <w:tc>
          <w:tcPr/>
          <w:p>
            <w:pPr>
              <w:pStyle w:val="Compact"/>
              <w:jc w:val="left"/>
            </w:pPr>
            <w:r>
              <w:rPr>
                <w:bCs/>
                <w:b/>
              </w:rPr>
              <w:t xml:space="preserve">Months 7-9</w:t>
            </w:r>
          </w:p>
        </w:tc>
        <w:tc>
          <w:tcPr/>
          <w:p>
            <w:pPr>
              <w:pStyle w:val="Compact"/>
              <w:jc w:val="left"/>
            </w:pPr>
            <w:r>
              <w:t xml:space="preserve">Chef pilot implementation; Metric collection; Framework refinement with Munich partners</w:t>
            </w:r>
          </w:p>
        </w:tc>
        <w:tc>
          <w:tcPr/>
          <w:p>
            <w:pPr>
              <w:pStyle w:val="Compact"/>
              <w:jc w:val="left"/>
            </w:pPr>
            <w:r>
              <w:t xml:space="preserve">Deployment at a Munich industrial client (e.g., Bosch Rexroth) with local data centers</w:t>
            </w:r>
          </w:p>
        </w:tc>
      </w:tr>
      <w:tr>
        <w:tc>
          <w:tcPr/>
          <w:p>
            <w:pPr>
              <w:pStyle w:val="Compact"/>
              <w:jc w:val="left"/>
            </w:pPr>
            <w:r>
              <w:rPr>
                <w:bCs/>
                <w:b/>
              </w:rPr>
              <w:t xml:space="preserve">Months 10-12</w:t>
            </w:r>
          </w:p>
        </w:tc>
        <w:tc>
          <w:tcPr/>
          <w:p>
            <w:pPr>
              <w:pStyle w:val="Compact"/>
              <w:jc w:val="left"/>
            </w:pPr>
            <w:r>
              <w:t xml:space="preserve">Thesis writing; Final validation workshop with Munich industry representatives</w:t>
            </w:r>
          </w:p>
        </w:tc>
        <w:tc>
          <w:tcPr/>
          <w:p>
            <w:pPr>
              <w:pStyle w:val="Compact"/>
              <w:jc w:val="left"/>
            </w:pPr>
            <w:r>
              <w:t xml:space="preserve">Presentation at the Munich DevOps Summit (October 2024)</w:t>
            </w:r>
          </w:p>
        </w:tc>
      </w:tr>
    </w:tbl>
    <w:bookmarkEnd w:id="26"/>
    <w:bookmarkStart w:id="27" w:name="conclusion-and-significance"/>
    <w:p>
      <w:pPr>
        <w:pStyle w:val="Heading2"/>
      </w:pPr>
      <w:r>
        <w:t xml:space="preserve">8. Conclusion and Significance</w:t>
      </w:r>
    </w:p>
    <w:p>
      <w:pPr>
        <w:pStyle w:val="FirstParagraph"/>
      </w:pPr>
      <w:r>
        <w:t xml:space="preserve">This Thesis Proposal establishes a vital research pathway for optimizing infrastructure management in Germany Munich's high-stakes enterprise environment. By centering on</w:t>
      </w:r>
      <w:r>
        <w:t xml:space="preserve"> </w:t>
      </w:r>
      <w:r>
        <w:rPr>
          <w:iCs/>
          <w:i/>
        </w:rPr>
        <w:t xml:space="preserve">Chef</w:t>
      </w:r>
      <w:r>
        <w:t xml:space="preserve"> </w:t>
      </w:r>
      <w:r>
        <w:t xml:space="preserve">as the technical backbone while embedding German legal, cultural, and business requirements into every layer of the framework, this work transcends generic DevOps studies. It responds directly to Munich's strategic need for trustworthy automation—where 78% of enterprises cite data sovereignty as their top infrastructure priority (Bitkom Report, 2023). The proposed implementation model will not only empower Munich's IT leaders to adopt Chef with confidence but also set a precedent for GDPR-compliant IaC across the European Union. As Germany accelerates its "Digital Agenda 2030," this research delivers actionable intelligence that bridges the gap between global DevOps innovation and local regulatory reality. The culmination of this Thesis Proposal will be a replicable, legally validated Chef adoption strategy poised to transform how enterprises in</w:t>
      </w:r>
      <w:r>
        <w:t xml:space="preserve"> </w:t>
      </w:r>
      <w:r>
        <w:rPr>
          <w:iCs/>
          <w:i/>
        </w:rPr>
        <w:t xml:space="preserve">Germany Munich</w:t>
      </w:r>
      <w:r>
        <w:t xml:space="preserve"> </w:t>
      </w:r>
      <w:r>
        <w:t xml:space="preserve">engineer their digital foundations.</w:t>
      </w:r>
    </w:p>
    <w:bookmarkEnd w:id="27"/>
    <w:bookmarkStart w:id="28" w:name="references-selected"/>
    <w:p>
      <w:pPr>
        <w:pStyle w:val="Heading2"/>
      </w:pPr>
      <w:r>
        <w:t xml:space="preserve">9. References (Selected)</w:t>
      </w:r>
    </w:p>
    <w:p>
      <w:pPr>
        <w:numPr>
          <w:ilvl w:val="0"/>
          <w:numId w:val="1004"/>
        </w:numPr>
        <w:pStyle w:val="Compact"/>
      </w:pPr>
      <w:r>
        <w:t xml:space="preserve">Gartner (2023). "Global IT Infrastructure Management Cost Trends." Gartner Report #G00768541.</w:t>
      </w:r>
    </w:p>
    <w:p>
      <w:pPr>
        <w:numPr>
          <w:ilvl w:val="0"/>
          <w:numId w:val="1004"/>
        </w:numPr>
        <w:pStyle w:val="Compact"/>
      </w:pPr>
      <w:r>
        <w:t xml:space="preserve">Müller, K., &amp; Schmidt, A. (2021). "GDPR Compliance in German Cloud Adoption." Journal of European Data Governance, 18(4), 33-52.</w:t>
      </w:r>
    </w:p>
    <w:p>
      <w:pPr>
        <w:numPr>
          <w:ilvl w:val="0"/>
          <w:numId w:val="1004"/>
        </w:numPr>
        <w:pStyle w:val="Compact"/>
      </w:pPr>
      <w:r>
        <w:t xml:space="preserve">Opscode. (2019). "Chef Infra Platform: Technical Whitepaper." Chef Software Inc.</w:t>
      </w:r>
    </w:p>
    <w:p>
      <w:pPr>
        <w:numPr>
          <w:ilvl w:val="0"/>
          <w:numId w:val="1004"/>
        </w:numPr>
        <w:pStyle w:val="Compact"/>
      </w:pPr>
      <w:r>
        <w:t xml:space="preserve">Bitkom (2023). "Digital Transformation in Bavaria: IT Infrastructure Survey." Bitkom Research Report.</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Configuration Management in Germany Munich's Enterprise Ecosystem</dc:title>
  <dc:creator/>
  <dc:language>en</dc:language>
  <cp:keywords/>
  <dcterms:created xsi:type="dcterms:W3CDTF">2026-04-24T02:40:01Z</dcterms:created>
  <dcterms:modified xsi:type="dcterms:W3CDTF">2026-04-24T02:40:01Z</dcterms:modified>
</cp:coreProperties>
</file>

<file path=docProps/custom.xml><?xml version="1.0" encoding="utf-8"?>
<Properties xmlns="http://schemas.openxmlformats.org/officeDocument/2006/custom-properties" xmlns:vt="http://schemas.openxmlformats.org/officeDocument/2006/docPropsVTypes"/>
</file>