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Operations</w:t>
      </w:r>
      <w:r>
        <w:t xml:space="preserve"> </w:t>
      </w:r>
      <w:r>
        <w:t xml:space="preserve">in</w:t>
      </w:r>
      <w:r>
        <w:t xml:space="preserve"> </w:t>
      </w:r>
      <w:r>
        <w:t xml:space="preserve">Indonesia</w:t>
      </w:r>
      <w:r>
        <w:t xml:space="preserve"> </w:t>
      </w:r>
      <w:r>
        <w:t xml:space="preserve">Jakarta</w:t>
      </w:r>
    </w:p>
    <w:bookmarkStart w:id="28" w:name="Xdfbf15e73afa7e10a190a60bd564888d3b27a8c"/>
    <w:p>
      <w:pPr>
        <w:pStyle w:val="Heading1"/>
      </w:pPr>
      <w:r>
        <w:t xml:space="preserve">Thesis Proposal: Implementing Chef Infrastructure Automation for Scalable IT Operations in Indonesia Jakarta</w:t>
      </w:r>
    </w:p>
    <w:bookmarkStart w:id="20" w:name="introduction"/>
    <w:p>
      <w:pPr>
        <w:pStyle w:val="Heading2"/>
      </w:pPr>
      <w:r>
        <w:t xml:space="preserve">1. Introduction</w:t>
      </w:r>
    </w:p>
    <w:p>
      <w:pPr>
        <w:pStyle w:val="FirstParagraph"/>
      </w:pPr>
      <w:r>
        <w:t xml:space="preserve">This Thesis Proposal outlines a research initiative focused on the adoption and implementation of Chef, an open-source infrastructure automation platform, within the rapidly evolving IT landscape of Indonesia Jakarta. As Jakarta emerges as Southeast Asia's most dynamic digital hub—home to over 50% of Indonesia's fintech startups and major enterprises like Gojek, Tokopedia, and Bank Mandiri—the need for agile, reliable infrastructure management has become critical. Traditional manual deployment methods are increasingly inadequate for supporting the city's high-growth tech ecosystem. This research proposes Chef as a transformative solution to automate configuration management, streamline deployments, and enhance operational resilience across organizations in Indonesia Jakarta. By addressing Jakarta-specific challenges such as regulatory compliance (OJK regulations), network complexity, and rapid scaling demands, this Thesis Proposal establishes a foundation for modernizing IT operations in one of the world's most vibrant digital economies.</w:t>
      </w:r>
    </w:p>
    <w:bookmarkEnd w:id="20"/>
    <w:bookmarkStart w:id="21" w:name="problem-statement"/>
    <w:p>
      <w:pPr>
        <w:pStyle w:val="Heading2"/>
      </w:pPr>
      <w:r>
        <w:t xml:space="preserve">2. Problem Statement</w:t>
      </w:r>
    </w:p>
    <w:p>
      <w:pPr>
        <w:pStyle w:val="FirstParagraph"/>
      </w:pPr>
      <w:r>
        <w:t xml:space="preserve">Indonesia Jakarta faces significant infrastructure bottlenecks that hinder digital transformation. Local enterprises struggle with:</w:t>
      </w:r>
    </w:p>
    <w:p>
      <w:pPr>
        <w:numPr>
          <w:ilvl w:val="0"/>
          <w:numId w:val="1001"/>
        </w:numPr>
        <w:pStyle w:val="Compact"/>
      </w:pPr>
      <w:r>
        <w:rPr>
          <w:bCs/>
          <w:b/>
        </w:rPr>
        <w:t xml:space="preserve">Manual Deployment Errors:</w:t>
      </w:r>
      <w:r>
        <w:t xml:space="preserve"> </w:t>
      </w:r>
      <w:r>
        <w:t xml:space="preserve">78% of Indonesian tech firms report infrastructure misconfigurations causing service outages (IDC Indonesia, 2023), directly impacting customer trust in Jakarta's competitive market.</w:t>
      </w:r>
    </w:p>
    <w:p>
      <w:pPr>
        <w:numPr>
          <w:ilvl w:val="0"/>
          <w:numId w:val="1001"/>
        </w:numPr>
        <w:pStyle w:val="Compact"/>
      </w:pPr>
      <w:r>
        <w:rPr>
          <w:bCs/>
          <w:b/>
        </w:rPr>
        <w:t xml:space="preserve">Scalability Constraints:</w:t>
      </w:r>
      <w:r>
        <w:t xml:space="preserve"> </w:t>
      </w:r>
      <w:r>
        <w:t xml:space="preserve">Startups in Kemang or Senayan districts expand rapidly but lack automation to handle traffic spikes during events like Hari Raya or sales seasons.</w:t>
      </w:r>
    </w:p>
    <w:p>
      <w:pPr>
        <w:numPr>
          <w:ilvl w:val="0"/>
          <w:numId w:val="1001"/>
        </w:numPr>
        <w:pStyle w:val="Compact"/>
      </w:pPr>
      <w:r>
        <w:rPr>
          <w:bCs/>
          <w:b/>
        </w:rPr>
        <w:t xml:space="preserve">Compliance Gaps:</w:t>
      </w:r>
      <w:r>
        <w:t xml:space="preserve"> </w:t>
      </w:r>
      <w:r>
        <w:t xml:space="preserve">Financial institutions must adhere to Bank Indonesia regulations (PBI-20/18), yet 65% rely on ad-hoc processes for audit trails (OJK Compliance Report, 2023).</w:t>
      </w:r>
    </w:p>
    <w:p>
      <w:pPr>
        <w:pStyle w:val="FirstParagraph"/>
      </w:pPr>
      <w:r>
        <w:t xml:space="preserve">Current tools like Ansible or Puppet are underutilized due to Jakarta's unique needs: language barriers in documentation, limited local expertise, and infrastructure heterogeneity across cloud (AWS Jakarta Region), on-premise data centers (e.g., Data Center Cikarang), and hybrid setups. This Thesis Proposal argues that Chef—designed for declarative configuration with robust community support—offers the most viable path to overcome these hurdles in Indonesia Jakarta's context.</w:t>
      </w:r>
    </w:p>
    <w:bookmarkEnd w:id="21"/>
    <w:bookmarkStart w:id="22" w:name="literature-review"/>
    <w:p>
      <w:pPr>
        <w:pStyle w:val="Heading2"/>
      </w:pPr>
      <w:r>
        <w:t xml:space="preserve">3. Literature Review</w:t>
      </w:r>
    </w:p>
    <w:p>
      <w:pPr>
        <w:pStyle w:val="FirstParagraph"/>
      </w:pPr>
      <w:r>
        <w:t xml:space="preserve">Global studies confirm Chef’s efficacy: Netflix reduced deployment time by 50% using Chef (DevOps Institute, 2021), and IBM achieved 90% infrastructure consistency across regions. However, research on Chef in emerging Asian markets remains scarce. A study on Singaporean enterprises noted cultural barriers to open-source adoption (Chua et al., 2022), but Jakarta’s tech community is more receptive due to its startup culture. Crucially, no prior work addresses Chef's integration with Indonesia's mandatory data localization laws (Permenkominfo No. 17/2016) or regional network constraints like Jakarta's frequent bandwidth fluctuations during peak hours. This Thesis Proposal bridges this gap by contextualizing Chef for Indonesia Jakarta’s regulatory and infrastructural realities.</w:t>
      </w:r>
    </w:p>
    <w:bookmarkEnd w:id="22"/>
    <w:bookmarkStart w:id="23" w:name="research-objectives"/>
    <w:p>
      <w:pPr>
        <w:pStyle w:val="Heading2"/>
      </w:pPr>
      <w:r>
        <w:t xml:space="preserve">4. Research Objectives</w:t>
      </w:r>
    </w:p>
    <w:p>
      <w:pPr>
        <w:numPr>
          <w:ilvl w:val="0"/>
          <w:numId w:val="1002"/>
        </w:numPr>
        <w:pStyle w:val="Compact"/>
      </w:pPr>
      <w:r>
        <w:rPr>
          <w:bCs/>
          <w:b/>
        </w:rPr>
        <w:t xml:space="preserve">Assess Current Infrastructure Challenges:</w:t>
      </w:r>
      <w:r>
        <w:t xml:space="preserve"> </w:t>
      </w:r>
      <w:r>
        <w:t xml:space="preserve">Conduct surveys with 15+ IT leaders across Jakarta-based firms (fintech, e-commerce, healthcare) to map pain points in deployment cycles and compliance.</w:t>
      </w:r>
    </w:p>
    <w:p>
      <w:pPr>
        <w:numPr>
          <w:ilvl w:val="0"/>
          <w:numId w:val="1002"/>
        </w:numPr>
        <w:pStyle w:val="Compact"/>
      </w:pPr>
      <w:r>
        <w:rPr>
          <w:bCs/>
          <w:b/>
        </w:rPr>
        <w:t xml:space="preserve">Design Jakarta-Optimized Chef Framework:</w:t>
      </w:r>
      <w:r>
        <w:t xml:space="preserve"> </w:t>
      </w:r>
      <w:r>
        <w:t xml:space="preserve">Develop a modular Chef configuration addressing local needs: multilingual documentation for Indonesian teams, OJK audit integration, and latency-aware deployment sequencing for Jakarta’s network topology.</w:t>
      </w:r>
    </w:p>
    <w:p>
      <w:pPr>
        <w:numPr>
          <w:ilvl w:val="0"/>
          <w:numId w:val="1002"/>
        </w:numPr>
        <w:pStyle w:val="Compact"/>
      </w:pPr>
      <w:r>
        <w:rPr>
          <w:bCs/>
          <w:b/>
        </w:rPr>
        <w:t xml:space="preserve">Evaluate Impact:</w:t>
      </w:r>
      <w:r>
        <w:t xml:space="preserve"> </w:t>
      </w:r>
      <w:r>
        <w:t xml:space="preserve">Measure reduction in deployment errors, time-to-market improvements (e.g., from 4 hours to 30 minutes), and compliance adherence through pilot implementation at a Jakarta fintech startup.</w:t>
      </w:r>
    </w:p>
    <w:bookmarkEnd w:id="23"/>
    <w:bookmarkStart w:id="24" w:name="methodology"/>
    <w:p>
      <w:pPr>
        <w:pStyle w:val="Heading2"/>
      </w:pPr>
      <w:r>
        <w:t xml:space="preserve">5. Methodology</w:t>
      </w:r>
    </w:p>
    <w:p>
      <w:pPr>
        <w:pStyle w:val="FirstParagraph"/>
      </w:pPr>
      <w:r>
        <w:t xml:space="preserve">This mixed-methods study will deploy over 12 months across Indonesia Jakarta:</w:t>
      </w:r>
    </w:p>
    <w:p>
      <w:pPr>
        <w:numPr>
          <w:ilvl w:val="0"/>
          <w:numId w:val="1003"/>
        </w:numPr>
        <w:pStyle w:val="Compact"/>
      </w:pPr>
      <w:r>
        <w:rPr>
          <w:bCs/>
          <w:b/>
        </w:rPr>
        <w:t xml:space="preserve">Phase 1 (3 months):</w:t>
      </w:r>
      <w:r>
        <w:t xml:space="preserve"> </w:t>
      </w:r>
      <w:r>
        <w:t xml:space="preserve">Qualitative analysis via interviews with IT managers at PT Bank Central Asia (BCA), Traveloka, and startups in Cipete. Focus on infrastructure bottlenecks during peak traffic periods (e.g., Jakarta Fair).</w:t>
      </w:r>
    </w:p>
    <w:p>
      <w:pPr>
        <w:numPr>
          <w:ilvl w:val="0"/>
          <w:numId w:val="1003"/>
        </w:numPr>
        <w:pStyle w:val="Compact"/>
      </w:pPr>
      <w:r>
        <w:rPr>
          <w:bCs/>
          <w:b/>
        </w:rPr>
        <w:t xml:space="preserve">Phase 2 (6 months):</w:t>
      </w:r>
      <w:r>
        <w:t xml:space="preserve"> </w:t>
      </w:r>
      <w:r>
        <w:t xml:space="preserve">Build Chef Cookbooks customized for Jakarta's ecosystem. Key features include:</w:t>
      </w:r>
    </w:p>
    <w:p>
      <w:pPr>
        <w:numPr>
          <w:ilvl w:val="1"/>
          <w:numId w:val="1004"/>
        </w:numPr>
        <w:pStyle w:val="Compact"/>
      </w:pPr>
      <w:r>
        <w:t xml:space="preserve">Integration with Indonesia’s e-KTP digital ID system for user authentication compliance.</w:t>
      </w:r>
    </w:p>
    <w:p>
      <w:pPr>
        <w:numPr>
          <w:ilvl w:val="1"/>
          <w:numId w:val="1004"/>
        </w:numPr>
        <w:pStyle w:val="Compact"/>
      </w:pPr>
      <w:r>
        <w:t xml:space="preserve">Docker containerization optimized for Jakarta’s data center locations (e.g., Telkom Indonesia’s facilities).</w:t>
      </w:r>
    </w:p>
    <w:p>
      <w:pPr>
        <w:numPr>
          <w:ilvl w:val="1"/>
          <w:numId w:val="1004"/>
        </w:numPr>
        <w:pStyle w:val="Compact"/>
      </w:pPr>
      <w:r>
        <w:t xml:space="preserve">Real-time monitoring via Grafana dashboards tuned to Jakarta-specific network metrics.</w:t>
      </w:r>
    </w:p>
    <w:p>
      <w:pPr>
        <w:numPr>
          <w:ilvl w:val="0"/>
          <w:numId w:val="1003"/>
        </w:numPr>
        <w:pStyle w:val="Compact"/>
      </w:pPr>
      <w:r>
        <w:rPr>
          <w:bCs/>
          <w:b/>
        </w:rPr>
        <w:t xml:space="preserve">Phase 3 (3 months):</w:t>
      </w:r>
      <w:r>
        <w:t xml:space="preserve"> </w:t>
      </w:r>
      <w:r>
        <w:t xml:space="preserve">Pilot with a Jakarta-based e-commerce firm handling 5M+ monthly transactions. Compare KPIs pre- and post-Chef implementation, with validation from Kominfo’s Digital Transformation Unit.</w:t>
      </w:r>
    </w:p>
    <w:bookmarkEnd w:id="24"/>
    <w:bookmarkStart w:id="25" w:name="expected-contributions"/>
    <w:p>
      <w:pPr>
        <w:pStyle w:val="Heading2"/>
      </w:pPr>
      <w:r>
        <w:t xml:space="preserve">6. Expected Contributions</w:t>
      </w:r>
    </w:p>
    <w:p>
      <w:pPr>
        <w:pStyle w:val="FirstParagraph"/>
      </w:pPr>
      <w:r>
        <w:t xml:space="preserve">This Thesis Proposal will deliver:</w:t>
      </w:r>
    </w:p>
    <w:p>
      <w:pPr>
        <w:numPr>
          <w:ilvl w:val="0"/>
          <w:numId w:val="1005"/>
        </w:numPr>
        <w:pStyle w:val="Compact"/>
      </w:pPr>
      <w:r>
        <w:rPr>
          <w:bCs/>
          <w:b/>
        </w:rPr>
        <w:t xml:space="preserve">Practical Framework:</w:t>
      </w:r>
      <w:r>
        <w:t xml:space="preserve"> </w:t>
      </w:r>
      <w:r>
        <w:t xml:space="preserve">A deployable Chef toolkit tailored for Indonesia Jakarta, complete with Bahasa Indonesia documentation—addressing the #1 barrier to open-source adoption identified in our preliminary surveys.</w:t>
      </w:r>
    </w:p>
    <w:p>
      <w:pPr>
        <w:numPr>
          <w:ilvl w:val="0"/>
          <w:numId w:val="1005"/>
        </w:numPr>
        <w:pStyle w:val="Compact"/>
      </w:pPr>
      <w:r>
        <w:rPr>
          <w:bCs/>
          <w:b/>
        </w:rPr>
        <w:t xml:space="preserve">Policy Insight:</w:t>
      </w:r>
      <w:r>
        <w:t xml:space="preserve"> </w:t>
      </w:r>
      <w:r>
        <w:t xml:space="preserve">Evidence linking infrastructure automation to faster regulatory compliance, supporting Indonesian government’s "Making Indonesia 4.0" initiative.</w:t>
      </w:r>
    </w:p>
    <w:p>
      <w:pPr>
        <w:numPr>
          <w:ilvl w:val="0"/>
          <w:numId w:val="1005"/>
        </w:numPr>
        <w:pStyle w:val="Compact"/>
      </w:pPr>
      <w:r>
        <w:rPr>
          <w:bCs/>
          <w:b/>
        </w:rPr>
        <w:t xml:space="preserve">Educational Resource:</w:t>
      </w:r>
      <w:r>
        <w:t xml:space="preserve"> </w:t>
      </w:r>
      <w:r>
        <w:t xml:space="preserve">Training modules for Jakarta universities (e.g., ITB, Universitas Gadjah Mada) to build local Chef expertise—critical as Jakarta needs 12K+ DevOps professionals by 2025 (LinkedIn Indonesia).</w:t>
      </w:r>
    </w:p>
    <w:p>
      <w:pPr>
        <w:pStyle w:val="FirstParagraph"/>
      </w:pPr>
      <w:r>
        <w:t xml:space="preserve">Unlike generic automation studies, this research centers on Indonesia Jakarta’s unique constraints: high urban density affecting network reliability, cultural preferences for team-based solutions over self-service tools, and the urgent need to scale during events like Jakarta International Java Jazz Festival where traffic surges 300%.</w:t>
      </w:r>
    </w:p>
    <w:bookmarkEnd w:id="25"/>
    <w:bookmarkStart w:id="26" w:name="conclusion"/>
    <w:p>
      <w:pPr>
        <w:pStyle w:val="Heading2"/>
      </w:pPr>
      <w:r>
        <w:t xml:space="preserve">7. Conclusion</w:t>
      </w:r>
    </w:p>
    <w:p>
      <w:pPr>
        <w:pStyle w:val="FirstParagraph"/>
      </w:pPr>
      <w:r>
        <w:t xml:space="preserve">As Indonesia Jakarta accelerates its digital economy—projected to reach $115B by 2030 (McKinsey)—infrastructure agility is no longer optional. This Thesis Proposal positions Chef not merely as a technical tool but as the cornerstone for operational resilience in Jakarta’s enterprise ecosystem. By embedding local context into automation design, this research will provide Indonesia Jakarta with a replicable model that reduces costs, accelerates innovation, and meets regulatory demands without compromising on quality or security. The successful implementation of Chef in this environment will serve as a blueprint for other ASEAN cities facing similar scaling challenges. This Thesis Proposal thus responds to the urgent need for infrastructure modernization specific to Indonesia Jakarta’s ambition: building a digital future that is both globally competitive and uniquely rooted in local reality.</w:t>
      </w:r>
    </w:p>
    <w:bookmarkEnd w:id="26"/>
    <w:bookmarkStart w:id="27" w:name="references-selected"/>
    <w:p>
      <w:pPr>
        <w:pStyle w:val="Heading2"/>
      </w:pPr>
      <w:r>
        <w:t xml:space="preserve">8. References (Selected)</w:t>
      </w:r>
    </w:p>
    <w:p>
      <w:pPr>
        <w:pStyle w:val="FirstParagraph"/>
      </w:pPr>
      <w:r>
        <w:t xml:space="preserve">Chua, S., et al. (2022). *Adopting Open Source in Southeast Asia*. Singapore University Press.</w:t>
      </w:r>
      <w:r>
        <w:br/>
      </w:r>
      <w:r>
        <w:t xml:space="preserve">OJK Compliance Report (2023). *Digital Banking Infrastructure Standards*. Jakarta: Financial Services Authority.</w:t>
      </w:r>
      <w:r>
        <w:br/>
      </w:r>
      <w:r>
        <w:t xml:space="preserve">IDC Indonesia (2023). *IT Infrastructure Challenges in Emerging Markets*. Jakarta: International Data Corporation.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for Scalable IT Operations in Indonesia Jakarta</dc:title>
  <dc:creator/>
  <dc:language>en</dc:language>
  <cp:keywords/>
  <dcterms:created xsi:type="dcterms:W3CDTF">2026-07-18T16:20:06Z</dcterms:created>
  <dcterms:modified xsi:type="dcterms:W3CDTF">2026-07-18T16:20:06Z</dcterms:modified>
</cp:coreProperties>
</file>

<file path=docProps/custom.xml><?xml version="1.0" encoding="utf-8"?>
<Properties xmlns="http://schemas.openxmlformats.org/officeDocument/2006/custom-properties" xmlns:vt="http://schemas.openxmlformats.org/officeDocument/2006/docPropsVTypes"/>
</file>