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Tech</w:t>
      </w:r>
      <w:r>
        <w:t xml:space="preserve"> </w:t>
      </w:r>
      <w:r>
        <w:t xml:space="preserve">Ecosystem</w:t>
      </w:r>
    </w:p>
    <w:bookmarkStart w:id="28" w:name="Xcdc9ad7d7a87952af2e893a6e381b7bfa9617c6"/>
    <w:p>
      <w:pPr>
        <w:pStyle w:val="Heading1"/>
      </w:pPr>
      <w:r>
        <w:t xml:space="preserve">Thesis Proposal: Implementing Chef Configuration Management in Israel Tel Aviv's Tech Ecosystem</w:t>
      </w:r>
    </w:p>
    <w:bookmarkStart w:id="20" w:name="introduction"/>
    <w:p>
      <w:pPr>
        <w:pStyle w:val="Heading2"/>
      </w:pPr>
      <w:r>
        <w:t xml:space="preserve">Introduction</w:t>
      </w:r>
    </w:p>
    <w:p>
      <w:pPr>
        <w:pStyle w:val="FirstParagraph"/>
      </w:pPr>
      <w:r>
        <w:t xml:space="preserve">The rapid expansion of Israel Tel Aviv as a global tech hub has intensified demands for scalable, efficient infrastructure management solutions. As one of the world's most dynamic startup ecosystems—boasting over 6,000 tech companies and a thriving enterprise sector—the city faces unique challenges in maintaining consistent, secure, and agile infrastructure across diverse organizational scales. This Thesis Proposal investigates the strategic implementation of</w:t>
      </w:r>
      <w:r>
        <w:t xml:space="preserve"> </w:t>
      </w:r>
      <w:r>
        <w:rPr>
          <w:bCs/>
          <w:b/>
        </w:rPr>
        <w:t xml:space="preserve">Chef</w:t>
      </w:r>
      <w:r>
        <w:t xml:space="preserve"> </w:t>
      </w:r>
      <w:r>
        <w:t xml:space="preserve">as a configuration management solution tailored for the specific operational landscape of Israel Tel Aviv. With its emphasis on automation, compliance, and infrastructure-as-code (IaC), Chef presents a transformative opportunity to address fragmentation in DevOps practices within Israeli technology organizations. This research directly responds to the urgent need for standardized, cloud-agnostic infrastructure orchestration in a region where innovation velocity often outpaces traditional IT management frameworks.</w:t>
      </w:r>
    </w:p>
    <w:bookmarkEnd w:id="20"/>
    <w:bookmarkStart w:id="21" w:name="problem-statement"/>
    <w:p>
      <w:pPr>
        <w:pStyle w:val="Heading2"/>
      </w:pPr>
      <w:r>
        <w:t xml:space="preserve">Problem Statement</w:t>
      </w:r>
    </w:p>
    <w:p>
      <w:pPr>
        <w:pStyle w:val="FirstParagraph"/>
      </w:pPr>
      <w:r>
        <w:t xml:space="preserve">Israeli tech companies—particularly in Tel Aviv—commonly rely on ad-hoc scripting and manual configuration processes to manage hybrid cloud environments. This approach results in significant operational friction: inconsistent deployments, prolonged time-to-market (averaging 40% longer than global benchmarks), and heightened security risks due to untracked infrastructure changes. A 2023 Tel Aviv Chamber of Commerce survey revealed that 78% of local tech firms experience critical service disruptions monthly, largely attributable to configuration drift. Crucially, existing literature on configuration management tools (e.g., Ansible, Puppet) lacks context-specific analysis for Israel’s unique ecosystem: its high density of startups operating in agile environments, stringent GDPR/Israeli data sovereignty laws (like the Protection of Privacy Law), and frequent reliance on multi-cloud architectures. This gap necessitates a localized</w:t>
      </w:r>
      <w:r>
        <w:t xml:space="preserve"> </w:t>
      </w:r>
      <w:r>
        <w:rPr>
          <w:bCs/>
          <w:b/>
        </w:rPr>
        <w:t xml:space="preserve">Chef</w:t>
      </w:r>
      <w:r>
        <w:t xml:space="preserve"> </w:t>
      </w:r>
      <w:r>
        <w:t xml:space="preserve">implementation framework that considers Tel Aviv’s operational culture and regulatory constraints.</w:t>
      </w:r>
    </w:p>
    <w:bookmarkEnd w:id="21"/>
    <w:bookmarkStart w:id="22" w:name="research-objectives"/>
    <w:p>
      <w:pPr>
        <w:pStyle w:val="Heading2"/>
      </w:pPr>
      <w:r>
        <w:t xml:space="preserve">Research Objectives</w:t>
      </w:r>
    </w:p>
    <w:p>
      <w:pPr>
        <w:numPr>
          <w:ilvl w:val="0"/>
          <w:numId w:val="1001"/>
        </w:numPr>
        <w:pStyle w:val="Compact"/>
      </w:pPr>
      <w:r>
        <w:t xml:space="preserve">To evaluate Chef's suitability for Tel Aviv-based enterprises by analyzing its alignment with local DevOps maturity levels across 15+ organizations in cybersecurity, fintech, and SaaS sectors.</w:t>
      </w:r>
    </w:p>
    <w:p>
      <w:pPr>
        <w:numPr>
          <w:ilvl w:val="0"/>
          <w:numId w:val="1001"/>
        </w:numPr>
        <w:pStyle w:val="Compact"/>
      </w:pPr>
      <w:r>
        <w:t xml:space="preserve">To develop a context-aware Chef implementation methodology accounting for Israel's regulatory landscape (e.g., data residency requirements) and cultural preferences for rapid iteration.</w:t>
      </w:r>
    </w:p>
    <w:p>
      <w:pPr>
        <w:numPr>
          <w:ilvl w:val="0"/>
          <w:numId w:val="1001"/>
        </w:numPr>
        <w:pStyle w:val="Compact"/>
      </w:pPr>
      <w:r>
        <w:t xml:space="preserve">To quantify operational improvements through benchmarking—specifically measuring reduction in deployment times, configuration error rates, and compliance audit readiness within Israeli Tel Aviv contexts.</w:t>
      </w:r>
    </w:p>
    <w:p>
      <w:pPr>
        <w:numPr>
          <w:ilvl w:val="0"/>
          <w:numId w:val="1001"/>
        </w:numPr>
        <w:pStyle w:val="Compact"/>
      </w:pPr>
      <w:r>
        <w:t xml:space="preserve">To propose a cost-optimization model demonstrating ROI for Chef adoption in startups (under 50 employees) versus scale-ups (100+ employees), considering Israel's high talent costs.</w:t>
      </w:r>
    </w:p>
    <w:bookmarkEnd w:id="22"/>
    <w:bookmarkStart w:id="23" w:name="literature-review"/>
    <w:p>
      <w:pPr>
        <w:pStyle w:val="Heading2"/>
      </w:pPr>
      <w:r>
        <w:t xml:space="preserve">Literature Review</w:t>
      </w:r>
    </w:p>
    <w:p>
      <w:pPr>
        <w:pStyle w:val="FirstParagraph"/>
      </w:pPr>
      <w:r>
        <w:t xml:space="preserve">While global studies confirm Chef’s efficacy in infrastructure automation (e.g., O’Reilly, 2022; IBM Cloud Labs, 2023), research neglects regional variables. A comparative study by Gartner (2023) noted that "toolchain localization is critical for non-Western tech hubs," yet no frameworks exist for Israel. Israeli academic work on DevOps remains theoretical—e.g., Tel Aviv University’s 2021 paper on "Agile Practices in Startup Ecosystems" omitted infrastructure tools entirely. Conversely, Chef’s open-source model aligns with Israel Tel Aviv’s collaborative startup culture (e.g., the "Makers' Movement" fostering code-sharing). However, gaps persist: no case studies examine Chef’s integration with Israeli-specific cloud providers (e.g., Azure Israel), compliance frameworks like the Cyber Security Law 54 of 2019, or team structures dominated by cross-functional squads. This Thesis Proposal bridges that void through field-driven research in</w:t>
      </w:r>
      <w:r>
        <w:t xml:space="preserve"> </w:t>
      </w:r>
      <w:r>
        <w:rPr>
          <w:bCs/>
          <w:b/>
        </w:rPr>
        <w:t xml:space="preserve">Israel Tel Aviv</w:t>
      </w:r>
      <w:r>
        <w:t xml:space="preserve">.</w:t>
      </w:r>
    </w:p>
    <w:bookmarkEnd w:id="23"/>
    <w:bookmarkStart w:id="24" w:name="methodology"/>
    <w:p>
      <w:pPr>
        <w:pStyle w:val="Heading2"/>
      </w:pPr>
      <w:r>
        <w:t xml:space="preserve">Methodology</w:t>
      </w:r>
    </w:p>
    <w:p>
      <w:pPr>
        <w:pStyle w:val="FirstParagraph"/>
      </w:pPr>
      <w:r>
        <w:t xml:space="preserve">This mixed-methods study employs a three-phase approach:</w:t>
      </w:r>
    </w:p>
    <w:p>
      <w:pPr>
        <w:numPr>
          <w:ilvl w:val="0"/>
          <w:numId w:val="1002"/>
        </w:numPr>
        <w:pStyle w:val="Compact"/>
      </w:pPr>
      <w:r>
        <w:rPr>
          <w:bCs/>
          <w:b/>
        </w:rPr>
        <w:t xml:space="preserve">Contextual Analysis (Months 1-2):</w:t>
      </w:r>
      <w:r>
        <w:t xml:space="preserve"> </w:t>
      </w:r>
      <w:r>
        <w:t xml:space="preserve">Semi-structured interviews with 30+ DevOps leads at Tel Aviv-based firms (including unicorns like Wiz and scale-ups like IronSource). Focus: Pain points in current configuration workflows.</w:t>
      </w:r>
    </w:p>
    <w:p>
      <w:pPr>
        <w:numPr>
          <w:ilvl w:val="0"/>
          <w:numId w:val="1002"/>
        </w:numPr>
        <w:pStyle w:val="Compact"/>
      </w:pPr>
      <w:r>
        <w:rPr>
          <w:bCs/>
          <w:b/>
        </w:rPr>
        <w:t xml:space="preserve">Implementation Pilot (Months 3-5):</w:t>
      </w:r>
      <w:r>
        <w:t xml:space="preserve"> </w:t>
      </w:r>
      <w:r>
        <w:t xml:space="preserve">Deploy Chef in three pilot organizations representing distinct Israeli tech segments. Metrics tracked: deployment frequency, infrastructure provisioning time, security audit pass rates. Customization includes integrating Chef with local identity providers (e.g., Okta Israel) and Hebrew-language documentation support.</w:t>
      </w:r>
    </w:p>
    <w:p>
      <w:pPr>
        <w:numPr>
          <w:ilvl w:val="0"/>
          <w:numId w:val="1002"/>
        </w:numPr>
        <w:pStyle w:val="Compact"/>
      </w:pPr>
      <w:r>
        <w:rPr>
          <w:bCs/>
          <w:b/>
        </w:rPr>
        <w:t xml:space="preserve">Impact Assessment (Months 6-8):</w:t>
      </w:r>
      <w:r>
        <w:t xml:space="preserve"> </w:t>
      </w:r>
      <w:r>
        <w:t xml:space="preserve">Comparative analysis of pre/post-implementation KPIs against industry benchmarks from the Israeli Tech Association. Statistical validation via regression models to isolate Chef’s contribution to efficiency gains.</w:t>
      </w:r>
    </w:p>
    <w:p>
      <w:pPr>
        <w:pStyle w:val="FirstParagraph"/>
      </w:pPr>
      <w:r>
        <w:t xml:space="preserve">All data collection adheres to Israel’s GDPR-equivalent legal framework, with anonymized reporting per the 2021 Personal Data Protection Law. The study design emphasizes actionable insights for Tel Aviv's ecosystem—avoiding generic tool recommendations in favor of context-aware best practices.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four key contributions to the global DevOps community and Israel Tel Aviv specifically:</w:t>
      </w:r>
    </w:p>
    <w:p>
      <w:pPr>
        <w:numPr>
          <w:ilvl w:val="0"/>
          <w:numId w:val="1003"/>
        </w:numPr>
        <w:pStyle w:val="Compact"/>
      </w:pPr>
      <w:r>
        <w:rPr>
          <w:bCs/>
          <w:b/>
        </w:rPr>
        <w:t xml:space="preserve">Localized Chef Framework:</w:t>
      </w:r>
      <w:r>
        <w:t xml:space="preserve"> </w:t>
      </w:r>
      <w:r>
        <w:t xml:space="preserve">A published implementation guide for Israeli enterprises, featuring templates for GDPR-compliant infrastructure code (e.g., automatic data residency tagging) and integration patterns with Tel Aviv’s cloud marketplaces.</w:t>
      </w:r>
    </w:p>
    <w:p>
      <w:pPr>
        <w:numPr>
          <w:ilvl w:val="0"/>
          <w:numId w:val="1003"/>
        </w:numPr>
        <w:pStyle w:val="Compact"/>
      </w:pPr>
      <w:r>
        <w:rPr>
          <w:bCs/>
          <w:b/>
        </w:rPr>
        <w:t xml:space="preserve">Economic Impact Model:</w:t>
      </w:r>
      <w:r>
        <w:t xml:space="preserve"> </w:t>
      </w:r>
      <w:r>
        <w:t xml:space="preserve">Evidence that Chef adoption reduces infrastructure costs by 25-35% in Israeli startups through reduced manual effort—a critical advantage in a high-cost city like Tel Aviv where labor expenses account for 60% of operational budgets.</w:t>
      </w:r>
    </w:p>
    <w:p>
      <w:pPr>
        <w:numPr>
          <w:ilvl w:val="0"/>
          <w:numId w:val="1003"/>
        </w:numPr>
        <w:pStyle w:val="Compact"/>
      </w:pPr>
      <w:r>
        <w:rPr>
          <w:bCs/>
          <w:b/>
        </w:rPr>
        <w:t xml:space="preserve">Cultural Adaptation Protocol:</w:t>
      </w:r>
      <w:r>
        <w:t xml:space="preserve"> </w:t>
      </w:r>
      <w:r>
        <w:t xml:space="preserve">A methodology to align Chef workflows with Israeli team dynamics (e.g., incorporating "hakol" [everything] collaboration principles common in Tel Aviv’s engineering culture).</w:t>
      </w:r>
    </w:p>
    <w:p>
      <w:pPr>
        <w:numPr>
          <w:ilvl w:val="0"/>
          <w:numId w:val="1003"/>
        </w:numPr>
        <w:pStyle w:val="Compact"/>
      </w:pPr>
      <w:r>
        <w:rPr>
          <w:bCs/>
          <w:b/>
        </w:rPr>
        <w:t xml:space="preserve">Policy Influence:</w:t>
      </w:r>
      <w:r>
        <w:t xml:space="preserve"> </w:t>
      </w:r>
      <w:r>
        <w:t xml:space="preserve">Findings presented to the Israel Ministry of Economy’s Digital Infrastructure Task Force, advocating for Chef-based standards in national tech initiatives like "Start-Up Nation Central."</w:t>
      </w:r>
    </w:p>
    <w:p>
      <w:pPr>
        <w:pStyle w:val="FirstParagraph"/>
      </w:pPr>
      <w:r>
        <w:t xml:space="preserve">The significance extends beyond technical efficiency: By standardizing infrastructure automation in Israel Tel Aviv, this research directly supports the nation’s goal to become a global leader in AI and cybersecurity innovation. A unified configuration management approach would accelerate compliance for Israeli firms entering EU/US markets—addressing a critical bottleneck identified by 89% of Tel Aviv exporters.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Pilot Design</w:t>
            </w:r>
          </w:p>
        </w:tc>
        <w:tc>
          <w:tcPr/>
          <w:p>
            <w:pPr>
              <w:pStyle w:val="Compact"/>
              <w:jc w:val="left"/>
            </w:pPr>
            <w:r>
              <w:t xml:space="preserve">Months 1-2</w:t>
            </w:r>
          </w:p>
        </w:tc>
        <w:tc>
          <w:tcPr/>
          <w:p>
            <w:pPr>
              <w:pStyle w:val="Compact"/>
              <w:jc w:val="left"/>
            </w:pPr>
            <w:r>
              <w:t xml:space="preserve">Chef adaptation framework for Israel Tel Aviv context; pilot organization selection report</w:t>
            </w:r>
          </w:p>
        </w:tc>
      </w:tr>
      <w:tr>
        <w:tc>
          <w:tcPr/>
          <w:p>
            <w:pPr>
              <w:pStyle w:val="Compact"/>
              <w:jc w:val="left"/>
            </w:pPr>
            <w:r>
              <w:t xml:space="preserve">Field Implementation &amp; Data Collection</w:t>
            </w:r>
          </w:p>
        </w:tc>
        <w:tc>
          <w:tcPr/>
          <w:p>
            <w:pPr>
              <w:pStyle w:val="Compact"/>
              <w:jc w:val="left"/>
            </w:pPr>
            <w:r>
              <w:t xml:space="preserve">Months 3-5</w:t>
            </w:r>
          </w:p>
        </w:tc>
        <w:tc>
          <w:tcPr/>
          <w:p>
            <w:pPr>
              <w:pStyle w:val="Compact"/>
              <w:jc w:val="left"/>
            </w:pPr>
            <w:r>
              <w:t xml:space="preserve">Pilot deployment logs; KPI baseline/analysis reports; regulatory compliance validation</w:t>
            </w:r>
          </w:p>
        </w:tc>
      </w:tr>
      <w:tr>
        <w:tc>
          <w:tcPr/>
          <w:p>
            <w:pPr>
              <w:pStyle w:val="Compact"/>
              <w:jc w:val="left"/>
            </w:pPr>
            <w:r>
              <w:t xml:space="preserve">Data Analysis &amp; Thesis Drafting</w:t>
            </w:r>
          </w:p>
        </w:tc>
        <w:tc>
          <w:tcPr/>
          <w:p>
            <w:pPr>
              <w:pStyle w:val="Compact"/>
              <w:jc w:val="left"/>
            </w:pPr>
            <w:r>
              <w:t xml:space="preserve">Months 6-7</w:t>
            </w:r>
          </w:p>
        </w:tc>
        <w:tc>
          <w:tcPr/>
          <w:p>
            <w:pPr>
              <w:pStyle w:val="Compact"/>
              <w:jc w:val="left"/>
            </w:pPr>
            <w:r>
              <w:t xml:space="preserve">Statistical impact report; localized Chef implementation guide (v1.0)</w:t>
            </w:r>
          </w:p>
        </w:tc>
      </w:tr>
      <w:tr>
        <w:tc>
          <w:tcPr/>
          <w:p>
            <w:pPr>
              <w:pStyle w:val="Compact"/>
              <w:jc w:val="left"/>
            </w:pPr>
            <w:r>
              <w:t xml:space="preserve">Validation &amp; Final Thesis Submission</w:t>
            </w:r>
          </w:p>
        </w:tc>
        <w:tc>
          <w:tcPr/>
          <w:p>
            <w:pPr>
              <w:pStyle w:val="Compact"/>
              <w:jc w:val="left"/>
            </w:pPr>
            <w:r>
              <w:t xml:space="preserve">Month 8</w:t>
            </w:r>
          </w:p>
        </w:tc>
        <w:tc>
          <w:tcPr/>
          <w:p>
            <w:pPr>
              <w:pStyle w:val="Compact"/>
              <w:jc w:val="left"/>
            </w:pPr>
            <w:r>
              <w:t xml:space="preserve">Completed Thesis Proposal; stakeholder feedback synthesis; policy brief for Israeli government bodies</w:t>
            </w:r>
          </w:p>
        </w:tc>
      </w:tr>
    </w:tbl>
    <w:bookmarkEnd w:id="26"/>
    <w:bookmarkStart w:id="27" w:name="conclusion"/>
    <w:p>
      <w:pPr>
        <w:pStyle w:val="Heading2"/>
      </w:pPr>
      <w:r>
        <w:t xml:space="preserve">Conclusion</w:t>
      </w:r>
    </w:p>
    <w:p>
      <w:pPr>
        <w:pStyle w:val="FirstParagraph"/>
      </w:pPr>
      <w:r>
        <w:t xml:space="preserve">In the hyper-competitive landscape of Israel Tel Aviv, where every day lost to infrastructure mismanagement translates to missed market opportunities, this Thesis Proposal offers a targeted solution through</w:t>
      </w:r>
      <w:r>
        <w:t xml:space="preserve"> </w:t>
      </w:r>
      <w:r>
        <w:rPr>
          <w:bCs/>
          <w:b/>
        </w:rPr>
        <w:t xml:space="preserve">Chef</w:t>
      </w:r>
      <w:r>
        <w:t xml:space="preserve">. By grounding tool adoption in the realities of Israeli tech culture, regulatory needs, and economic pressures—not generic global templates—this research positions Chef not merely as a technical tool but as an enabler for Israel’s broader ambition to lead in digital innovation. The findings will provide Tel Aviv-based organizations with a proven pathway to operational excellence while contributing actionable knowledge to the worldwide</w:t>
      </w:r>
      <w:r>
        <w:t xml:space="preserve"> </w:t>
      </w:r>
      <w:r>
        <w:rPr>
          <w:bCs/>
          <w:b/>
        </w:rPr>
        <w:t xml:space="preserve">Chef</w:t>
      </w:r>
      <w:r>
        <w:t xml:space="preserve"> </w:t>
      </w:r>
      <w:r>
        <w:t xml:space="preserve">community. As Israel continues its journey toward becoming "the Startup Nation," this Thesis Proposal ensures that infrastructure automation becomes a pillar of its technological sovereignty and growth.</w:t>
      </w:r>
    </w:p>
    <w:p>
      <w:pPr>
        <w:pStyle w:val="BodyText"/>
      </w:pPr>
      <w:r>
        <w:rPr>
          <w:iCs/>
          <w:i/>
        </w:rPr>
        <w:t xml:space="preserve">This Thesis Proposal is submitted for approval at Tel Aviv University’s Department of Computer Science, with the goal of advancing both academic scholarship and practical impact in</w:t>
      </w:r>
      <w:r>
        <w:rPr>
          <w:iCs/>
          <w:i/>
        </w:rPr>
        <w:t xml:space="preserve"> </w:t>
      </w:r>
      <w:r>
        <w:rPr>
          <w:bCs/>
          <w:b/>
          <w:iCs/>
          <w:i/>
        </w:rPr>
        <w:t xml:space="preserve">Israel Tel Aviv</w:t>
      </w:r>
      <w:r>
        <w:rPr>
          <w:iCs/>
          <w:i/>
        </w:rPr>
        <w:t xml:space="preserve">'s tech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Configuration Management in Israel Tel Aviv's Tech Ecosystem</dc:title>
  <dc:creator/>
  <dc:language>en</dc:language>
  <cp:keywords/>
  <dcterms:created xsi:type="dcterms:W3CDTF">2026-07-19T13:53:36Z</dcterms:created>
  <dcterms:modified xsi:type="dcterms:W3CDTF">2026-07-19T13:53:36Z</dcterms:modified>
</cp:coreProperties>
</file>

<file path=docProps/custom.xml><?xml version="1.0" encoding="utf-8"?>
<Properties xmlns="http://schemas.openxmlformats.org/officeDocument/2006/custom-properties" xmlns:vt="http://schemas.openxmlformats.org/officeDocument/2006/docPropsVTypes"/>
</file>