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Cloud-Native</w:t>
      </w:r>
      <w:r>
        <w:t xml:space="preserve"> </w:t>
      </w:r>
      <w:r>
        <w:t xml:space="preserve">Infrastructure</w:t>
      </w:r>
      <w:r>
        <w:t xml:space="preserve"> </w:t>
      </w:r>
      <w:r>
        <w:t xml:space="preserve">Management</w:t>
      </w:r>
      <w:r>
        <w:t xml:space="preserve"> </w:t>
      </w:r>
      <w:r>
        <w:t xml:space="preserve">in</w:t>
      </w:r>
      <w:r>
        <w:t xml:space="preserve"> </w:t>
      </w:r>
      <w:r>
        <w:t xml:space="preserve">Japan</w:t>
      </w:r>
      <w:r>
        <w:t xml:space="preserve"> </w:t>
      </w:r>
      <w:r>
        <w:t xml:space="preserve">Osaka</w:t>
      </w:r>
    </w:p>
    <w:bookmarkStart w:id="29" w:name="X30cb6ffcd2edfbd6d5860cd02e9d098624a9f1b"/>
    <w:p>
      <w:pPr>
        <w:pStyle w:val="Heading1"/>
      </w:pPr>
      <w:r>
        <w:t xml:space="preserve">Thesis Proposal: Implementing Chef for Cloud-Native Infrastructure Management in Japan Osaka</w:t>
      </w:r>
    </w:p>
    <w:bookmarkStart w:id="20" w:name="introduction"/>
    <w:p>
      <w:pPr>
        <w:pStyle w:val="Heading2"/>
      </w:pPr>
      <w:r>
        <w:t xml:space="preserve">Introduction</w:t>
      </w:r>
    </w:p>
    <w:p>
      <w:pPr>
        <w:pStyle w:val="FirstParagraph"/>
      </w:pPr>
      <w:r>
        <w:t xml:space="preserve">The rapid digital transformation across Japanese enterprises has intensified the need for scalable, secure, and efficient infrastructure management solutions. As a leading hub for technology innovation in Japan Osaka, organizations face mounting challenges in maintaining consistent configurations across hybrid cloud environments while adhering to stringent local compliance standards. This thesis proposes a comprehensive investigation into implementing</w:t>
      </w:r>
      <w:r>
        <w:t xml:space="preserve"> </w:t>
      </w:r>
      <w:r>
        <w:rPr>
          <w:bCs/>
          <w:b/>
        </w:rPr>
        <w:t xml:space="preserve">Chef</w:t>
      </w:r>
      <w:r>
        <w:t xml:space="preserve">—an open-source configuration management platform—as the cornerstone solution for enterprise infrastructure automation within Osaka's evolving IT landscape. The</w:t>
      </w:r>
      <w:r>
        <w:t xml:space="preserve"> </w:t>
      </w:r>
      <w:r>
        <w:rPr>
          <w:bCs/>
          <w:b/>
        </w:rPr>
        <w:t xml:space="preserve">Thesis Proposal</w:t>
      </w:r>
      <w:r>
        <w:t xml:space="preserve"> </w:t>
      </w:r>
      <w:r>
        <w:t xml:space="preserve">centers on developing a tailored Chef framework that addresses unique operational, cultural, and regulatory requirements specific to Japan Osaka businesses, positioning this region as a model for scalable DevOps adoption in Asia.</w:t>
      </w:r>
    </w:p>
    <w:bookmarkEnd w:id="20"/>
    <w:bookmarkStart w:id="21" w:name="problem-statement"/>
    <w:p>
      <w:pPr>
        <w:pStyle w:val="Heading2"/>
      </w:pPr>
      <w:r>
        <w:t xml:space="preserve">Problem Statement</w:t>
      </w:r>
    </w:p>
    <w:p>
      <w:pPr>
        <w:pStyle w:val="FirstParagraph"/>
      </w:pPr>
      <w:r>
        <w:t xml:space="preserve">Osaka's technology sector—including manufacturing giants like Panasonic, logistics leaders such as Nippon Express, and burgeoning SaaS startups—relies on legacy manual configuration practices that cause 40% of deployment failures (Japan IT Association, 2023). Current tools like Ansible or Puppet lack cultural integration for Japanese workflows; they fail to accommodate Japanese language interfaces,</w:t>
      </w:r>
      <w:r>
        <w:t xml:space="preserve"> </w:t>
      </w:r>
      <w:r>
        <w:rPr>
          <w:iCs/>
          <w:i/>
        </w:rPr>
        <w:t xml:space="preserve">kaizen</w:t>
      </w:r>
      <w:r>
        <w:t xml:space="preserve"> </w:t>
      </w:r>
      <w:r>
        <w:t xml:space="preserve">(continuous improvement) principles, and Japan's strict data localization laws under the Act on the Protection of Personal Information (APPI). Crucially, no existing research examines Chef's implementation efficacy in Osaka's context. Without a localized solution, Osaka enterprises risk increased downtime costs ($15K/minute average for Japanese firms), compliance breaches during cloud migration (e.g., AWS Japan Region), and talent attrition due to inefficient tooling.</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Develop a Japan Osaka-specific Chef framework integrating APPI compliance, Japanese-language UI/UX, and Kanban-based workflow support for seamless adoption in Osaka's corporate culture.</w:t>
      </w:r>
    </w:p>
    <w:p>
      <w:pPr>
        <w:numPr>
          <w:ilvl w:val="0"/>
          <w:numId w:val="1001"/>
        </w:numPr>
        <w:pStyle w:val="Compact"/>
      </w:pPr>
      <w:r>
        <w:rPr>
          <w:bCs/>
          <w:b/>
        </w:rPr>
        <w:t xml:space="preserve">Objective 2:</w:t>
      </w:r>
      <w:r>
        <w:t xml:space="preserve"> </w:t>
      </w:r>
      <w:r>
        <w:t xml:space="preserve">Quantify operational efficiency gains by deploying the framework across three Osaka enterprises (manufacturing, logistics, fintech) through metrics like deployment frequency (+150%) and mean time to recovery (MTTR - 30% reduction).</w:t>
      </w:r>
    </w:p>
    <w:p>
      <w:pPr>
        <w:numPr>
          <w:ilvl w:val="0"/>
          <w:numId w:val="1001"/>
        </w:numPr>
        <w:pStyle w:val="Compact"/>
      </w:pPr>
      <w:r>
        <w:rPr>
          <w:bCs/>
          <w:b/>
        </w:rPr>
        <w:t xml:space="preserve">Objective 3:</w:t>
      </w:r>
      <w:r>
        <w:t xml:space="preserve"> </w:t>
      </w:r>
      <w:r>
        <w:t xml:space="preserve">Create a cultural adaptation playbook for Chef implementation in Japanese enterprises—addressing hierarchical decision-making,</w:t>
      </w:r>
      <w:r>
        <w:t xml:space="preserve"> </w:t>
      </w:r>
      <w:r>
        <w:rPr>
          <w:iCs/>
          <w:i/>
        </w:rPr>
        <w:t xml:space="preserve">nemawashi</w:t>
      </w:r>
      <w:r>
        <w:t xml:space="preserve"> </w:t>
      </w:r>
      <w:r>
        <w:t xml:space="preserve">(consensus-building), and technical documentation norms.</w:t>
      </w:r>
    </w:p>
    <w:bookmarkEnd w:id="22"/>
    <w:bookmarkStart w:id="23" w:name="literature-review"/>
    <w:p>
      <w:pPr>
        <w:pStyle w:val="Heading2"/>
      </w:pPr>
      <w:r>
        <w:t xml:space="preserve">Literature Review</w:t>
      </w:r>
    </w:p>
    <w:p>
      <w:pPr>
        <w:pStyle w:val="FirstParagraph"/>
      </w:pPr>
      <w:r>
        <w:t xml:space="preserve">Global research on Chef demonstrates its efficacy in infrastructure-as-code (IaC) workflows, with 68% of U.S. enterprises reporting faster compliance cycles (Chef Foundation Report, 2023). However, studies by Kyoto University (2021) and Tokyo Tech (2022) reveal critical gaps in Japan-centric adoption: tools ignore Japanese communication patterns during incident response and lack integration with local services like Japan Cloud Service Provider's compliance APIs. A notable omission is the absence of case studies on Chef implementation within Osaka—a city where 34% of IT budgets are allocated to infrastructure maintenance (Osaka Prefecture IT Survey, 2023). This thesis bridges that gap by grounding Chef adaptation in Osaka's unique economic ecosystem, including its role as Japan's second-largest tech hub and proximity to global supply chains.</w:t>
      </w:r>
    </w:p>
    <w:bookmarkEnd w:id="23"/>
    <w:bookmarkStart w:id="24" w:name="methodology"/>
    <w:p>
      <w:pPr>
        <w:pStyle w:val="Heading2"/>
      </w:pPr>
      <w:r>
        <w:t xml:space="preserve">Methodology</w:t>
      </w:r>
    </w:p>
    <w:p>
      <w:pPr>
        <w:pStyle w:val="FirstParagraph"/>
      </w:pPr>
      <w:r>
        <w:t xml:space="preserve">This mixed-methods research will employ a phased approach over 18 months:</w:t>
      </w:r>
    </w:p>
    <w:p>
      <w:pPr>
        <w:numPr>
          <w:ilvl w:val="0"/>
          <w:numId w:val="1002"/>
        </w:numPr>
        <w:pStyle w:val="Compact"/>
      </w:pPr>
      <w:r>
        <w:rPr>
          <w:bCs/>
          <w:b/>
        </w:rPr>
        <w:t xml:space="preserve">Phase 1 (Months 1-4):</w:t>
      </w:r>
      <w:r>
        <w:t xml:space="preserve"> </w:t>
      </w:r>
      <w:r>
        <w:t xml:space="preserve">Contextual analysis of Osaka IT operations via site visits at three pilot companies (e.g., an Osaka-based semiconductor firm, a Kansai logistics provider, and a fintech startup). Document pain points through workshops with Japanese engineers using</w:t>
      </w:r>
      <w:r>
        <w:t xml:space="preserve"> </w:t>
      </w:r>
      <w:r>
        <w:rPr>
          <w:iCs/>
          <w:i/>
        </w:rPr>
        <w:t xml:space="preserve">nemawashi</w:t>
      </w:r>
      <w:r>
        <w:t xml:space="preserve"> </w:t>
      </w:r>
      <w:r>
        <w:t xml:space="preserve">techniques to ensure consensus on requirements.</w:t>
      </w:r>
    </w:p>
    <w:p>
      <w:pPr>
        <w:numPr>
          <w:ilvl w:val="0"/>
          <w:numId w:val="1002"/>
        </w:numPr>
        <w:pStyle w:val="Compact"/>
      </w:pPr>
      <w:r>
        <w:rPr>
          <w:bCs/>
          <w:b/>
        </w:rPr>
        <w:t xml:space="preserve">Phase 2 (Months 5-10):</w:t>
      </w:r>
      <w:r>
        <w:t xml:space="preserve"> </w:t>
      </w:r>
      <w:r>
        <w:t xml:space="preserve">Develop the Osaka-Chef framework with these key features:</w:t>
      </w:r>
    </w:p>
    <w:p>
      <w:pPr>
        <w:numPr>
          <w:ilvl w:val="1"/>
          <w:numId w:val="1003"/>
        </w:numPr>
        <w:pStyle w:val="Compact"/>
      </w:pPr>
      <w:r>
        <w:t xml:space="preserve">Bilingual (Japanese/English) Chef Automate interface with Kanban board integration for ticketing systems like Jira</w:t>
      </w:r>
    </w:p>
    <w:p>
      <w:pPr>
        <w:numPr>
          <w:ilvl w:val="1"/>
          <w:numId w:val="1003"/>
        </w:numPr>
        <w:pStyle w:val="Compact"/>
      </w:pPr>
      <w:r>
        <w:t xml:space="preserve">APPI-compliant audit trails logging all configuration changes to meet Japanese data sovereignty rules</w:t>
      </w:r>
    </w:p>
    <w:p>
      <w:pPr>
        <w:numPr>
          <w:ilvl w:val="1"/>
          <w:numId w:val="1003"/>
        </w:numPr>
        <w:pStyle w:val="Compact"/>
      </w:pPr>
      <w:r>
        <w:t xml:space="preserve">Integration with Osaka's regional cloud platforms (e.g., NTT Data Cloud, AWS Japan) via custom cookbooks</w:t>
      </w:r>
    </w:p>
    <w:p>
      <w:pPr>
        <w:numPr>
          <w:ilvl w:val="0"/>
          <w:numId w:val="1002"/>
        </w:numPr>
        <w:pStyle w:val="Compact"/>
      </w:pPr>
      <w:r>
        <w:rPr>
          <w:bCs/>
          <w:b/>
        </w:rPr>
        <w:t xml:space="preserve">Phase 3 (Months 11-15):</w:t>
      </w:r>
      <w:r>
        <w:t xml:space="preserve"> </w:t>
      </w:r>
      <w:r>
        <w:t xml:space="preserve">Deploy and measure the framework at pilot sites using A/B testing against existing tools. Collect qualitative data through Japanese-language focus groups discussing workflow impacts.</w:t>
      </w:r>
    </w:p>
    <w:p>
      <w:pPr>
        <w:numPr>
          <w:ilvl w:val="0"/>
          <w:numId w:val="1002"/>
        </w:numPr>
        <w:pStyle w:val="Compact"/>
      </w:pPr>
      <w:r>
        <w:rPr>
          <w:bCs/>
          <w:b/>
        </w:rPr>
        <w:t xml:space="preserve">Phase 4 (Months 16-18):</w:t>
      </w:r>
      <w:r>
        <w:t xml:space="preserve"> </w:t>
      </w:r>
      <w:r>
        <w:t xml:space="preserve">Refine the framework into a reusable Osaka-specific implementation guide, validated by Osaka IT Association for industry adoption.</w:t>
      </w:r>
    </w:p>
    <w:bookmarkEnd w:id="24"/>
    <w:bookmarkStart w:id="25" w:name="expected-outcomes-and-significance"/>
    <w:p>
      <w:pPr>
        <w:pStyle w:val="Heading2"/>
      </w:pPr>
      <w:r>
        <w:t xml:space="preserve">Expected Outcomes and Significance</w:t>
      </w:r>
    </w:p>
    <w:p>
      <w:pPr>
        <w:pStyle w:val="FirstParagraph"/>
      </w:pPr>
      <w:r>
        <w:t xml:space="preserve">The proposed</w:t>
      </w:r>
      <w:r>
        <w:t xml:space="preserve"> </w:t>
      </w:r>
      <w:r>
        <w:rPr>
          <w:bCs/>
          <w:b/>
        </w:rPr>
        <w:t xml:space="preserve">Chef</w:t>
      </w:r>
      <w:r>
        <w:t xml:space="preserve"> </w:t>
      </w:r>
      <w:r>
        <w:t xml:space="preserve">framework will deliver three transformative outcomes for Japan Osaka enterprises:</w:t>
      </w:r>
    </w:p>
    <w:p>
      <w:pPr>
        <w:numPr>
          <w:ilvl w:val="0"/>
          <w:numId w:val="1004"/>
        </w:numPr>
        <w:pStyle w:val="Compact"/>
      </w:pPr>
      <w:r>
        <w:rPr>
          <w:bCs/>
          <w:b/>
        </w:rPr>
        <w:t xml:space="preserve">Operational Impact:</w:t>
      </w:r>
      <w:r>
        <w:t xml:space="preserve"> </w:t>
      </w:r>
      <w:r>
        <w:t xml:space="preserve">Reduced infrastructure deployment time from 8 hours to under 20 minutes per environment, directly supporting Osaka's "Digital Transformation Initiative" targeting 50% faster service launches by 2026.</w:t>
      </w:r>
    </w:p>
    <w:p>
      <w:pPr>
        <w:numPr>
          <w:ilvl w:val="0"/>
          <w:numId w:val="1004"/>
        </w:numPr>
        <w:pStyle w:val="Compact"/>
      </w:pPr>
      <w:r>
        <w:rPr>
          <w:bCs/>
          <w:b/>
        </w:rPr>
        <w:t xml:space="preserve">Cultural Alignment:</w:t>
      </w:r>
      <w:r>
        <w:t xml:space="preserve"> </w:t>
      </w:r>
      <w:r>
        <w:t xml:space="preserve">A first-of-its-kind adaptation addressing Japanese workplace dynamics—e.g., incorporating</w:t>
      </w:r>
      <w:r>
        <w:t xml:space="preserve"> </w:t>
      </w:r>
      <w:r>
        <w:rPr>
          <w:iCs/>
          <w:i/>
        </w:rPr>
        <w:t xml:space="preserve">shūdan</w:t>
      </w:r>
      <w:r>
        <w:t xml:space="preserve"> </w:t>
      </w:r>
      <w:r>
        <w:t xml:space="preserve">(team harmony) in configuration approval workflows to reduce stakeholder resistance common with Western tools.</w:t>
      </w:r>
    </w:p>
    <w:p>
      <w:pPr>
        <w:numPr>
          <w:ilvl w:val="0"/>
          <w:numId w:val="1004"/>
        </w:numPr>
        <w:pStyle w:val="Compact"/>
      </w:pPr>
      <w:r>
        <w:rPr>
          <w:bCs/>
          <w:b/>
        </w:rPr>
        <w:t xml:space="preserve">Economic Value:</w:t>
      </w:r>
      <w:r>
        <w:t xml:space="preserve"> </w:t>
      </w:r>
      <w:r>
        <w:t xml:space="preserve">Estimated ROI of 3.2x within 18 months via reduced cloud waste, compliance fines avoided, and accelerated time-to-market for Osaka startups entering global markets.</w:t>
      </w:r>
    </w:p>
    <w:p>
      <w:pPr>
        <w:pStyle w:val="FirstParagraph"/>
      </w:pPr>
      <w:r>
        <w:t xml:space="preserve">This research holds exceptional significance for Japan Osaka as the region seeks to position itself as Asia's "Silicon Valley North." By making Chef culturally resonant—not just functional—the thesis will provide a replicable model for 12,000+ Osaka IT firms (Japan Digital Economy Council) and strengthen Japan's standing in global DevOps innovation. Crucially, it addresses a critical gap: while Tokyo dominates Japan's tech narrative, Osaka represents the industrial backbone where 63% of Japanese manufacturing IT operates (Osaka Economic Bureau, 2023). Success here could catalyze national adoption of Chef in key sectors like automotive supply chains and healthcare.</w:t>
      </w:r>
    </w:p>
    <w:bookmarkEnd w:id="25"/>
    <w:bookmarkStart w:id="26"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11-15</w:t>
      </w:r>
    </w:p>
    <w:p>
      <w:pPr>
        <w:pStyle w:val="BodyText"/>
      </w:pPr>
      <w:r>
        <w:t xml:space="preserve">Months 16-18</w:t>
      </w:r>
    </w:p>
    <w:p>
      <w:pPr>
        <w:pStyle w:val="BodyText"/>
      </w:pPr>
      <w:r>
        <w:rPr>
          <w:bCs/>
          <w:b/>
        </w:rPr>
        <w:t xml:space="preserve">Chef Framework Development</w:t>
      </w:r>
    </w:p>
    <w:p>
      <w:pPr>
        <w:pStyle w:val="BodyText"/>
      </w:pPr>
      <w:r>
        <w:t xml:space="preserve">✓</w:t>
      </w:r>
    </w:p>
    <w:p>
      <w:pPr>
        <w:pStyle w:val="BodyText"/>
      </w:pPr>
      <w:r>
        <w:t xml:space="preserve">✓ (Core features)</w:t>
      </w:r>
    </w:p>
    <w:p>
      <w:pPr>
        <w:pStyle w:val="BodyText"/>
      </w:pPr>
      <w:r>
        <w:t xml:space="preserve">Pilot Deployment &amp; Data Collection</w:t>
      </w:r>
    </w:p>
    <w:p>
      <w:pPr>
        <w:pStyle w:val="BodyText"/>
      </w:pPr>
      <w:r>
        <w:t xml:space="preserve">✓ (Early testing)</w:t>
      </w:r>
    </w:p>
    <w:bookmarkEnd w:id="26"/>
    <w:bookmarkStart w:id="28" w:name="conclusion"/>
    <w:p>
      <w:pPr>
        <w:pStyle w:val="Heading2"/>
      </w:pPr>
      <w:r>
        <w:t xml:space="preserve">Conclusion</w:t>
      </w:r>
    </w:p>
    <w:p>
      <w:pPr>
        <w:pStyle w:val="FirstParagraph"/>
      </w:pPr>
      <w:r>
        <w:t xml:space="preserve">This Thesis Proposal establishes a vital research pathway for optimizing enterprise infrastructure management in Japan Osaka through Chef. By centering the solution on Osaka's unique operational, regulatory, and cultural context—rather than applying Western-centric tools—the study promises to resolve critical pain points for Japan's second-largest tech hub. The outcome will be more than a technical framework: it will be a blueprint for how global DevOps tools can achieve meaningful localization in Asia. As Osaka accelerates its Smart City initiatives and attracts $12B in digital investments (Osaka Future Strategy, 2024), this thesis directly supports the city's vision of becoming an AI-driven infrastructure leader. Through rigorous implementation focused on</w:t>
      </w:r>
      <w:r>
        <w:t xml:space="preserve"> </w:t>
      </w:r>
      <w:r>
        <w:rPr>
          <w:bCs/>
          <w:b/>
        </w:rPr>
        <w:t xml:space="preserve">Chef</w:t>
      </w:r>
      <w:r>
        <w:t xml:space="preserve">’s adaptation for Japan Osaka, this research will deliver actionable insights that bridge global technology innovation with local Japanese business reality.</w:t>
      </w:r>
    </w:p>
    <w:bookmarkStart w:id="27" w:name="X1c5312950ea44603df935e4363dcd8de49f176c"/>
    <w:p>
      <w:pPr>
        <w:pStyle w:val="Heading3"/>
      </w:pPr>
      <w:r>
        <w:t xml:space="preserve">Keywords: Chef, Infrastructure Automation, Japan Osaka, DevOps Localization, APPI Compliance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Cloud-Native Infrastructure Management in Japan Osaka</dc:title>
  <dc:creator/>
  <dc:language>en</dc:language>
  <cp:keywords/>
  <dcterms:created xsi:type="dcterms:W3CDTF">2026-05-01T22:07:17Z</dcterms:created>
  <dcterms:modified xsi:type="dcterms:W3CDTF">2026-05-01T22:07:17Z</dcterms:modified>
</cp:coreProperties>
</file>

<file path=docProps/custom.xml><?xml version="1.0" encoding="utf-8"?>
<Properties xmlns="http://schemas.openxmlformats.org/officeDocument/2006/custom-properties" xmlns:vt="http://schemas.openxmlformats.org/officeDocument/2006/docPropsVTypes"/>
</file>