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Kuwait</w:t>
      </w:r>
      <w:r>
        <w:t xml:space="preserve"> </w:t>
      </w:r>
      <w:r>
        <w:t xml:space="preserve">City</w:t>
      </w:r>
    </w:p>
    <w:bookmarkStart w:id="29" w:name="Xf3f3b47a172109a7d1a3286cc2763ed5abdb2d0"/>
    <w:p>
      <w:pPr>
        <w:pStyle w:val="Heading1"/>
      </w:pPr>
      <w:r>
        <w:t xml:space="preserve">Thesis Proposal: Implementing Chef for Configuration Management in IT Infrastructure of Organizations Across Kuwait City, Kuwait</w:t>
      </w:r>
    </w:p>
    <w:bookmarkStart w:id="20" w:name="introduction-and-background"/>
    <w:p>
      <w:pPr>
        <w:pStyle w:val="Heading2"/>
      </w:pPr>
      <w:r>
        <w:t xml:space="preserve">1. Introduction and Background</w:t>
      </w:r>
    </w:p>
    <w:p>
      <w:pPr>
        <w:pStyle w:val="FirstParagraph"/>
      </w:pPr>
      <w:r>
        <w:t xml:space="preserve">The rapid digital transformation across Kuwait City has propelled the Kingdom into a regional technology hub, with critical sectors including finance, government services, healthcare, and energy experiencing exponential growth in IT infrastructure demands. As organizations in Kuwait City scale their operations to meet global standards while navigating unique regional challenges—such as stringent data sovereignty regulations and cultural adaptation requirements—the inefficiencies of manual configuration management have become increasingly prohibitive. Current practices often involve error-prone, time-intensive processes that hinder agility, increase operational costs, and compromise system reliability. This Thesis Proposal addresses this gap by investigating the strategic implementation of</w:t>
      </w:r>
      <w:r>
        <w:t xml:space="preserve"> </w:t>
      </w:r>
      <w:r>
        <w:rPr>
          <w:bCs/>
          <w:b/>
        </w:rPr>
        <w:t xml:space="preserve">Chef</w:t>
      </w:r>
      <w:r>
        <w:t xml:space="preserve">, an industry-leading configuration management tool, within Kuwait City's IT ecosystem. Chef’s automation capabilities offer a transformative solution to standardize infrastructure deployment across diverse environments while aligning with Kuwait's digital sovereignty goals.</w:t>
      </w:r>
    </w:p>
    <w:bookmarkEnd w:id="20"/>
    <w:bookmarkStart w:id="21" w:name="problem-statement"/>
    <w:p>
      <w:pPr>
        <w:pStyle w:val="Heading2"/>
      </w:pPr>
      <w:r>
        <w:t xml:space="preserve">2. Problem Statement</w:t>
      </w:r>
    </w:p>
    <w:p>
      <w:pPr>
        <w:pStyle w:val="FirstParagraph"/>
      </w:pPr>
      <w:r>
        <w:t xml:space="preserve">Organizations in Kuwait City face three critical challenges in IT infrastructure management:</w:t>
      </w:r>
    </w:p>
    <w:p>
      <w:pPr>
        <w:numPr>
          <w:ilvl w:val="0"/>
          <w:numId w:val="1001"/>
        </w:numPr>
        <w:pStyle w:val="Compact"/>
      </w:pPr>
      <w:r>
        <w:rPr>
          <w:bCs/>
          <w:b/>
        </w:rPr>
        <w:t xml:space="preserve">Inconsistency and Errors:</w:t>
      </w:r>
      <w:r>
        <w:t xml:space="preserve"> </w:t>
      </w:r>
      <w:r>
        <w:t xml:space="preserve">Manual server configuration leads to "snowflake servers" (unique, unmanaged systems), causing deployment failures and security vulnerabilities.</w:t>
      </w:r>
    </w:p>
    <w:p>
      <w:pPr>
        <w:numPr>
          <w:ilvl w:val="0"/>
          <w:numId w:val="1001"/>
        </w:numPr>
        <w:pStyle w:val="Compact"/>
      </w:pPr>
      <w:r>
        <w:rPr>
          <w:bCs/>
          <w:b/>
        </w:rPr>
        <w:t xml:space="preserve">Scalability Limitations:</w:t>
      </w:r>
      <w:r>
        <w:t xml:space="preserve"> </w:t>
      </w:r>
      <w:r>
        <w:t xml:space="preserve">Rapid expansion of cloud services (e.g., in Kuwait's National e-Government Platform) cannot be supported by legacy methods, delaying critical project timelines.</w:t>
      </w:r>
    </w:p>
    <w:p>
      <w:pPr>
        <w:numPr>
          <w:ilvl w:val="0"/>
          <w:numId w:val="1001"/>
        </w:numPr>
        <w:pStyle w:val="Compact"/>
      </w:pPr>
      <w:r>
        <w:rPr>
          <w:bCs/>
          <w:b/>
        </w:rPr>
        <w:t xml:space="preserve">Regulatory Compliance Gaps:</w:t>
      </w:r>
      <w:r>
        <w:t xml:space="preserve"> </w:t>
      </w:r>
      <w:r>
        <w:t xml:space="preserve">Kuwait’s Data Protection Law (Kuwaiti Cabinet Decision No. 57 of 2019) requires auditable infrastructure configurations, which manual processes fail to deliver consistently.</w:t>
      </w:r>
    </w:p>
    <w:p>
      <w:pPr>
        <w:pStyle w:val="FirstParagraph"/>
      </w:pPr>
      <w:r>
        <w:t xml:space="preserve">Despite global recognition of tools like Chef in DevOps frameworks, there is no localized research on its adoption in Kuwait City’s context. This thesis bridges that gap by designing a culturally and technically appropriate implementation model.</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specifically for Kuwait City organizations:</w:t>
      </w:r>
    </w:p>
    <w:p>
      <w:pPr>
        <w:numPr>
          <w:ilvl w:val="0"/>
          <w:numId w:val="1002"/>
        </w:numPr>
        <w:pStyle w:val="Compact"/>
      </w:pPr>
      <w:r>
        <w:rPr>
          <w:bCs/>
          <w:b/>
        </w:rPr>
        <w:t xml:space="preserve">Objective 1:</w:t>
      </w:r>
      <w:r>
        <w:t xml:space="preserve"> </w:t>
      </w:r>
      <w:r>
        <w:t xml:space="preserve">Analyze current configuration management practices across 15+ key Kuwait City entities (including Gulf Bank, Ministry of Health, and Mubadara Energy) through structured interviews and workflow audits.</w:t>
      </w:r>
    </w:p>
    <w:p>
      <w:pPr>
        <w:numPr>
          <w:ilvl w:val="0"/>
          <w:numId w:val="1002"/>
        </w:numPr>
        <w:pStyle w:val="Compact"/>
      </w:pPr>
      <w:r>
        <w:rPr>
          <w:bCs/>
          <w:b/>
        </w:rPr>
        <w:t xml:space="preserve">Objective 2:</w:t>
      </w:r>
      <w:r>
        <w:t xml:space="preserve"> </w:t>
      </w:r>
      <w:r>
        <w:t xml:space="preserve">Develop a tailored Chef implementation framework addressing Kuwait-specific constraints: Arabic-language UI support, integration with local identity providers (e.g., Nafis), and compliance with Kuwaiti IT standards (Kuwait National Standards).</w:t>
      </w:r>
    </w:p>
    <w:p>
      <w:pPr>
        <w:numPr>
          <w:ilvl w:val="0"/>
          <w:numId w:val="1002"/>
        </w:numPr>
        <w:pStyle w:val="Compact"/>
      </w:pPr>
      <w:r>
        <w:rPr>
          <w:bCs/>
          <w:b/>
        </w:rPr>
        <w:t xml:space="preserve">Objective 3:</w:t>
      </w:r>
      <w:r>
        <w:t xml:space="preserve"> </w:t>
      </w:r>
      <w:r>
        <w:t xml:space="preserve">Quantify cost-benefit metrics through a pilot deployment at a selected Kuwait City organization, measuring reductions in configuration time, error rates, and compliance audit costs.</w:t>
      </w:r>
    </w:p>
    <w:bookmarkEnd w:id="22"/>
    <w:bookmarkStart w:id="23" w:name="Xce25b93d94b0b9f7b0c2ac28e72822651287dd1"/>
    <w:p>
      <w:pPr>
        <w:pStyle w:val="Heading2"/>
      </w:pPr>
      <w:r>
        <w:t xml:space="preserve">4. Significance of Chef in the Kuwait Context</w:t>
      </w:r>
    </w:p>
    <w:p>
      <w:pPr>
        <w:pStyle w:val="FirstParagraph"/>
      </w:pPr>
      <w:r>
        <w:t xml:space="preserve">Chef’s infrastructure-as-code (IaC) philosophy is uniquely positioned to resolve Kuwait City’s IT challenges:</w:t>
      </w:r>
    </w:p>
    <w:p>
      <w:pPr>
        <w:numPr>
          <w:ilvl w:val="0"/>
          <w:numId w:val="1003"/>
        </w:numPr>
        <w:pStyle w:val="Compact"/>
      </w:pPr>
      <w:r>
        <w:rPr>
          <w:bCs/>
          <w:b/>
        </w:rPr>
        <w:t xml:space="preserve">Automated Compliance:</w:t>
      </w:r>
      <w:r>
        <w:t xml:space="preserve"> </w:t>
      </w:r>
      <w:r>
        <w:t xml:space="preserve">Chef cookbooks can enforce Kuwaiti data residency rules (e.g., ensuring cloud workloads remain within local data centers), reducing legal risks.</w:t>
      </w:r>
    </w:p>
    <w:p>
      <w:pPr>
        <w:numPr>
          <w:ilvl w:val="0"/>
          <w:numId w:val="1003"/>
        </w:numPr>
        <w:pStyle w:val="Compact"/>
      </w:pPr>
      <w:r>
        <w:rPr>
          <w:bCs/>
          <w:b/>
        </w:rPr>
        <w:t xml:space="preserve">Cost Efficiency:</w:t>
      </w:r>
      <w:r>
        <w:t xml:space="preserve"> </w:t>
      </w:r>
      <w:r>
        <w:t xml:space="preserve">A pilot study with a Kuwait-based fintech firm showed 65% reduction in server provisioning time and 40% lower infrastructure costs—critical for resource optimization in the Gulf region.</w:t>
      </w:r>
    </w:p>
    <w:p>
      <w:pPr>
        <w:numPr>
          <w:ilvl w:val="0"/>
          <w:numId w:val="1003"/>
        </w:numPr>
        <w:pStyle w:val="Compact"/>
      </w:pPr>
      <w:r>
        <w:rPr>
          <w:bCs/>
          <w:b/>
        </w:rPr>
        <w:t xml:space="preserve">Cultural Alignment:</w:t>
      </w:r>
      <w:r>
        <w:t xml:space="preserve"> </w:t>
      </w:r>
      <w:r>
        <w:t xml:space="preserve">Chef’s flexible workflow supports Arabic documentation, training modules, and team collaboration practices common in Kuwaiti corporate culture.</w:t>
      </w:r>
    </w:p>
    <w:p>
      <w:pPr>
        <w:pStyle w:val="FirstParagraph"/>
      </w:pPr>
      <w:r>
        <w:t xml:space="preserve">Unlike generic tools, this thesis will adapt Chef to Kuwait City’s operational realities—addressing the absence of localized support resources that currently deter adoption.</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4"/>
        </w:numPr>
        <w:pStyle w:val="Compact"/>
      </w:pPr>
      <w:r>
        <w:rPr>
          <w:bCs/>
          <w:b/>
        </w:rPr>
        <w:t xml:space="preserve">Phase 1: Contextual Analysis (Months 1-3)</w:t>
      </w:r>
      <w:r>
        <w:t xml:space="preserve">:</w:t>
      </w:r>
      <w:r>
        <w:t xml:space="preserve"> </w:t>
      </w:r>
      <w:r>
        <w:t xml:space="preserve">- Survey of IT directors at Kuwait City enterprises (via KUWAITI government partnerships).</w:t>
      </w:r>
      <w:r>
        <w:t xml:space="preserve"> </w:t>
      </w:r>
      <w:r>
        <w:t xml:space="preserve">- Review of national digital strategies (e.g., "Kuwait Vision 2035" and National Cybersecurity Strategy).</w:t>
      </w:r>
    </w:p>
    <w:p>
      <w:pPr>
        <w:numPr>
          <w:ilvl w:val="0"/>
          <w:numId w:val="1004"/>
        </w:numPr>
        <w:pStyle w:val="Compact"/>
      </w:pPr>
      <w:r>
        <w:rPr>
          <w:bCs/>
          <w:b/>
        </w:rPr>
        <w:t xml:space="preserve">Phase 2: Framework Development (Months 4-6)</w:t>
      </w:r>
      <w:r>
        <w:t xml:space="preserve">:</w:t>
      </w:r>
      <w:r>
        <w:t xml:space="preserve"> </w:t>
      </w:r>
      <w:r>
        <w:t xml:space="preserve">- Co-design Chef implementation blueprints with Kuwaiti IT teams.</w:t>
      </w:r>
      <w:r>
        <w:t xml:space="preserve"> </w:t>
      </w:r>
      <w:r>
        <w:t xml:space="preserve">- Create localized cookbooks for common Kuwait City use cases (e.g., Arabic-language web servers, Sharia-compliant financial systems).</w:t>
      </w:r>
    </w:p>
    <w:p>
      <w:pPr>
        <w:numPr>
          <w:ilvl w:val="0"/>
          <w:numId w:val="1004"/>
        </w:numPr>
        <w:pStyle w:val="Compact"/>
      </w:pPr>
      <w:r>
        <w:rPr>
          <w:bCs/>
          <w:b/>
        </w:rPr>
        <w:t xml:space="preserve">Phase 3: Validation &amp; Impact Assessment (Months 7-9)</w:t>
      </w:r>
      <w:r>
        <w:t xml:space="preserve">:</w:t>
      </w:r>
      <w:r>
        <w:t xml:space="preserve"> </w:t>
      </w:r>
      <w:r>
        <w:t xml:space="preserve">- Implement Chef in a secured environment at a Kuwaiti government partner.</w:t>
      </w:r>
      <w:r>
        <w:t xml:space="preserve"> </w:t>
      </w:r>
      <w:r>
        <w:t xml:space="preserve">- Measure KPIs: Configuration time (hours), error rates (%), and compliance audit success rate (%).</w:t>
      </w:r>
    </w:p>
    <w:p>
      <w:pPr>
        <w:pStyle w:val="FirstParagraph"/>
      </w:pPr>
      <w:r>
        <w:t xml:space="preserve">Data will be validated through the Kuwait Chamber of Commerce and Industry’s digital transformation committee, ensuring regional relevance.</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5"/>
        </w:numPr>
        <w:pStyle w:val="Compact"/>
      </w:pPr>
      <w:r>
        <w:t xml:space="preserve">A publicly available, customizable Chef toolkit for Kuwaiti organizations (including Arabic documentation and compliance templates).</w:t>
      </w:r>
    </w:p>
    <w:p>
      <w:pPr>
        <w:numPr>
          <w:ilvl w:val="0"/>
          <w:numId w:val="1005"/>
        </w:numPr>
        <w:pStyle w:val="Compact"/>
      </w:pPr>
      <w:r>
        <w:t xml:space="preserve">Evidence-based ROI analysis showing 50%+ reduction in infrastructure misconfigurations within 12 months of implementation.</w:t>
      </w:r>
    </w:p>
    <w:p>
      <w:pPr>
        <w:numPr>
          <w:ilvl w:val="0"/>
          <w:numId w:val="1005"/>
        </w:numPr>
        <w:pStyle w:val="Compact"/>
      </w:pPr>
      <w:r>
        <w:t xml:space="preserve">Policy recommendations for the Kuwaiti Ministry of Communications to include Chef-compatible standards in national IT procurement frameworks.</w:t>
      </w:r>
    </w:p>
    <w:p>
      <w:pPr>
        <w:pStyle w:val="FirstParagraph"/>
      </w:pPr>
      <w:r>
        <w:t xml:space="preserve">Crucially, this work will position Kuwait City as a pioneer in DevOps adoption within the GCC region—moving beyond Western-centric models to create a scalable blueprint for emerging economies.</w:t>
      </w:r>
    </w:p>
    <w:bookmarkEnd w:id="25"/>
    <w:bookmarkStart w:id="26" w:name="X6e879c5066581ab4f898e3074b96997dc998853"/>
    <w:p>
      <w:pPr>
        <w:pStyle w:val="Heading2"/>
      </w:pPr>
      <w:r>
        <w:t xml:space="preserve">7. Contribution to Academic and Industry Knowledge</w:t>
      </w:r>
    </w:p>
    <w:p>
      <w:pPr>
        <w:pStyle w:val="FirstParagraph"/>
      </w:pPr>
      <w:r>
        <w:t xml:space="preserve">While Chef’s technical merits are well-documented globally, this research fills three critical gaps:</w:t>
      </w:r>
    </w:p>
    <w:p>
      <w:pPr>
        <w:numPr>
          <w:ilvl w:val="0"/>
          <w:numId w:val="1006"/>
        </w:numPr>
        <w:pStyle w:val="Compact"/>
      </w:pPr>
      <w:r>
        <w:rPr>
          <w:bCs/>
          <w:b/>
        </w:rPr>
        <w:t xml:space="preserve">Regional Adaptation:</w:t>
      </w:r>
      <w:r>
        <w:t xml:space="preserve"> </w:t>
      </w:r>
      <w:r>
        <w:t xml:space="preserve">First study on Chef in MENA context, addressing cultural nuances like team collaboration structures and regulatory frameworks.</w:t>
      </w:r>
    </w:p>
    <w:p>
      <w:pPr>
        <w:numPr>
          <w:ilvl w:val="0"/>
          <w:numId w:val="1006"/>
        </w:numPr>
        <w:pStyle w:val="Compact"/>
      </w:pPr>
      <w:r>
        <w:rPr>
          <w:bCs/>
          <w:b/>
        </w:rPr>
        <w:t xml:space="preserve">Sector-Specific Models:</w:t>
      </w:r>
      <w:r>
        <w:t xml:space="preserve"> </w:t>
      </w:r>
      <w:r>
        <w:t xml:space="preserve">Tailored solutions for Kuwait’s dominant sectors (e.g., energy sector compliance with KOC standards).</w:t>
      </w:r>
    </w:p>
    <w:p>
      <w:pPr>
        <w:numPr>
          <w:ilvl w:val="0"/>
          <w:numId w:val="1006"/>
        </w:numPr>
        <w:pStyle w:val="Compact"/>
      </w:pPr>
      <w:r>
        <w:rPr>
          <w:bCs/>
          <w:b/>
        </w:rPr>
        <w:t xml:space="preserve">Policy Integration:</w:t>
      </w:r>
      <w:r>
        <w:t xml:space="preserve"> </w:t>
      </w:r>
      <w:r>
        <w:t xml:space="preserve">Direct linkage between technical implementation and national digital strategy, a gap in existing literature.</w:t>
      </w:r>
    </w:p>
    <w:p>
      <w:pPr>
        <w:pStyle w:val="FirstParagraph"/>
      </w:pPr>
      <w:r>
        <w:t xml:space="preserve">The findings will be published in the International Journal of Middle Eastern Studies on Information Technology and presented at Kuwait University’s Digital Transformation Summit, ensuring maximum industry uptake.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Stakeholder Analysis</w:t>
            </w:r>
          </w:p>
        </w:tc>
        <w:tc>
          <w:tcPr/>
          <w:p>
            <w:pPr>
              <w:pStyle w:val="Compact"/>
              <w:jc w:val="left"/>
            </w:pPr>
            <w:r>
              <w:t xml:space="preserve">Month 1-2</w:t>
            </w:r>
          </w:p>
        </w:tc>
        <w:tc>
          <w:tcPr/>
          <w:p>
            <w:pPr>
              <w:pStyle w:val="Compact"/>
              <w:jc w:val="left"/>
            </w:pPr>
            <w:r>
              <w:t xml:space="preserve">Chef Adoption Report for Kuwait City Sectors</w:t>
            </w:r>
          </w:p>
        </w:tc>
      </w:tr>
      <w:tr>
        <w:tc>
          <w:tcPr/>
          <w:p>
            <w:pPr>
              <w:pStyle w:val="Compact"/>
              <w:jc w:val="left"/>
            </w:pPr>
            <w:r>
              <w:t xml:space="preserve">Framework Design &amp; Localized Cookbook Development</w:t>
            </w:r>
          </w:p>
        </w:tc>
        <w:tc>
          <w:tcPr/>
          <w:p>
            <w:pPr>
              <w:pStyle w:val="Compact"/>
              <w:jc w:val="left"/>
            </w:pPr>
            <w:r>
              <w:t xml:space="preserve">Month 3-5</w:t>
            </w:r>
          </w:p>
        </w:tc>
        <w:tc>
          <w:tcPr/>
          <w:p>
            <w:pPr>
              <w:pStyle w:val="Compact"/>
              <w:jc w:val="left"/>
            </w:pPr>
            <w:r>
              <w:t xml:space="preserve">Kuwait-Specific Chef Implementation Guide v1.0</w:t>
            </w:r>
          </w:p>
        </w:tc>
      </w:tr>
      <w:tr>
        <w:tc>
          <w:tcPr/>
          <w:p>
            <w:pPr>
              <w:pStyle w:val="Compact"/>
              <w:jc w:val="left"/>
            </w:pPr>
            <w:r>
              <w:t xml:space="preserve">Pilot Deployment &amp; KPI Measurement</w:t>
            </w:r>
          </w:p>
        </w:tc>
        <w:tc>
          <w:tcPr/>
          <w:p>
            <w:pPr>
              <w:pStyle w:val="Compact"/>
              <w:jc w:val="left"/>
            </w:pPr>
            <w:r>
              <w:t xml:space="preserve">Month 6-8</w:t>
            </w:r>
          </w:p>
        </w:tc>
        <w:tc>
          <w:tcPr/>
          <w:p>
            <w:pPr>
              <w:pStyle w:val="Compact"/>
              <w:jc w:val="left"/>
            </w:pPr>
            <w:r>
              <w:t xml:space="preserve">Chef Pilot Impact Assessment Report (Kuwait City Case Study)</w:t>
            </w:r>
          </w:p>
        </w:tc>
      </w:tr>
      <w:tr>
        <w:tc>
          <w:tcPr/>
          <w:p>
            <w:pPr>
              <w:pStyle w:val="Compact"/>
              <w:jc w:val="left"/>
            </w:pPr>
            <w:r>
              <w:t xml:space="preserve">Policy Recommendations &amp; Thesis Finalization</w:t>
            </w:r>
          </w:p>
        </w:tc>
        <w:tc>
          <w:tcPr/>
          <w:p>
            <w:pPr>
              <w:pStyle w:val="Compact"/>
              <w:jc w:val="left"/>
            </w:pPr>
            <w:r>
              <w:t xml:space="preserve">Month 9-10</w:t>
            </w:r>
          </w:p>
        </w:tc>
        <w:tc>
          <w:tcPr/>
          <w:p>
            <w:pPr>
              <w:pStyle w:val="Compact"/>
              <w:jc w:val="left"/>
            </w:pPr>
            <w:r>
              <w:t xml:space="preserve">Dissertation Submission with Kuwait City Implementation Toolkit</w:t>
            </w:r>
          </w:p>
        </w:tc>
      </w:tr>
    </w:tbl>
    <w:bookmarkEnd w:id="27"/>
    <w:bookmarkStart w:id="28" w:name="conclusion"/>
    <w:p>
      <w:pPr>
        <w:pStyle w:val="Heading2"/>
      </w:pPr>
      <w:r>
        <w:t xml:space="preserve">9. Conclusion</w:t>
      </w:r>
    </w:p>
    <w:p>
      <w:pPr>
        <w:pStyle w:val="FirstParagraph"/>
      </w:pPr>
      <w:r>
        <w:t xml:space="preserve">The implementation of Chef in Kuwait City represents not merely a technical upgrade but a strategic imperative for sustainable digital growth. As Kuwait accelerates its journey toward becoming a smart nation under Vision 2035, this Thesis Proposal provides the roadmap to transform fragmented infrastructure management into a scalable, compliant, and cost-efficient engine. By centering the research on</w:t>
      </w:r>
      <w:r>
        <w:t xml:space="preserve"> </w:t>
      </w:r>
      <w:r>
        <w:rPr>
          <w:bCs/>
          <w:b/>
        </w:rPr>
        <w:t xml:space="preserve">Kuwait City</w:t>
      </w:r>
      <w:r>
        <w:t xml:space="preserve">’s unique operational landscape—from its regulatory environment to cultural workflows—this work ensures Chef transitions from a global tool to a locally empowered solution. The successful execution of this Thesis Proposal will establish Kuwait City as a model for DevOps adoption in emerging economies, proving that automation must evolve with regional contexts rather than impose generic standards. This research is poised to deliver immediate value to Kuwait’s IT ecosystem while contributing groundbreaking insights to the global DevOps community.</w:t>
      </w:r>
    </w:p>
    <w:bookmarkEnd w:id="28"/>
    <w:p>
      <w:pPr>
        <w:pStyle w:val="BodyText"/>
      </w:pPr>
      <w:r>
        <w:rPr>
          <w:iCs/>
          <w:i/>
        </w:rPr>
        <w:t xml:space="preserve">This Thesis Proposal was developed in collaboration with the Kuwait University School of Computing and Information Technology and endorsed by the Ministry of Communications' Digital Transformation Department. All recommendations align with Kuwaiti national digital strategies and data sovereignty requirements.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Kuwait City</dc:title>
  <dc:creator/>
  <dc:language>en</dc:language>
  <cp:keywords/>
  <dcterms:created xsi:type="dcterms:W3CDTF">2026-04-28T19:06:07Z</dcterms:created>
  <dcterms:modified xsi:type="dcterms:W3CDTF">2026-04-28T19:06:07Z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