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739fa1fce677673004609cffc82efb69ac337f"/>
    <w:p>
      <w:pPr>
        <w:pStyle w:val="Heading1"/>
      </w:pPr>
      <w:r>
        <w:t xml:space="preserve">Thesis Proposal: Implementing Chef for Infrastructure Automation in Malaysia Kuala Lumpur</w:t>
      </w:r>
    </w:p>
    <w:bookmarkStart w:id="20" w:name="introduction"/>
    <w:p>
      <w:pPr>
        <w:pStyle w:val="Heading2"/>
      </w:pPr>
      <w:r>
        <w:t xml:space="preserve">1. Introduction</w:t>
      </w:r>
    </w:p>
    <w:p>
      <w:pPr>
        <w:pStyle w:val="FirstParagraph"/>
      </w:pPr>
      <w:r>
        <w:t xml:space="preserve">The rapid digital transformation across Southeast Asia has intensified the need for efficient, scalable, and reliable infrastructure management solutions. In Malaysia, particularly within the bustling tech ecosystem of Kuala Lumpur (KL), organizations face mounting challenges in maintaining complex IT environments amid growing demand for cloud services and DevOps practices. This Thesis Proposal outlines a research initiative focused on evaluating Chef—a leading configuration management and automation platform—as a strategic solution for modernizing infrastructure operations in Malaysia's corporate landscape, with specific emphasis on Kuala Lumpur's dynamic business environment. The study addresses critical gaps in current infrastructure management practices through the lens of Chef adoption, positioning this thesis as a pivotal contribution to IT operational excellence in Malaysia Kuala Lumpur.</w:t>
      </w:r>
    </w:p>
    <w:bookmarkEnd w:id="20"/>
    <w:bookmarkStart w:id="21" w:name="problem-statement"/>
    <w:p>
      <w:pPr>
        <w:pStyle w:val="Heading2"/>
      </w:pPr>
      <w:r>
        <w:t xml:space="preserve">2. Problem Statement</w:t>
      </w:r>
    </w:p>
    <w:p>
      <w:pPr>
        <w:pStyle w:val="FirstParagraph"/>
      </w:pPr>
      <w:r>
        <w:t xml:space="preserve">Malaysian enterprises in Kuala Lumpur currently grapple with fragmented infrastructure management systems, manual configuration processes, and inconsistent deployments that result in prolonged deployment cycles (often exceeding 72 hours), elevated security vulnerabilities, and significant operational costs. According to the 2023 Malaysia Digital Transformation Report by MDEC, 68% of KL-based companies experience infrastructure-related service disruptions quarterly. The absence of standardized automation frameworks exacerbates these issues, especially as businesses scale digital services for Southeast Asia's expanding market. Traditional tools fail to provide the agility required for real-time adaptation to regional compliance standards (such as PDPA and ASEAN cybersecurity directives) and hybrid cloud environments dominating KL's tech sector. This Thesis Proposal identifies Chef—acclaimed for its declarative infrastructure-as-code approach—as a potential catalyst to overcome these limitations.</w:t>
      </w:r>
    </w:p>
    <w:bookmarkEnd w:id="21"/>
    <w:bookmarkStart w:id="22" w:name="research-objectives"/>
    <w:p>
      <w:pPr>
        <w:pStyle w:val="Heading2"/>
      </w:pPr>
      <w:r>
        <w:t xml:space="preserve">3. Research Objectives</w:t>
      </w:r>
    </w:p>
    <w:p>
      <w:pPr>
        <w:numPr>
          <w:ilvl w:val="0"/>
          <w:numId w:val="1001"/>
        </w:numPr>
        <w:pStyle w:val="Compact"/>
      </w:pPr>
      <w:r>
        <w:t xml:space="preserve">To evaluate Chef’s effectiveness in reducing deployment cycles and enhancing infrastructure consistency within Kuala Lumpur-based organizations.</w:t>
      </w:r>
    </w:p>
    <w:p>
      <w:pPr>
        <w:numPr>
          <w:ilvl w:val="0"/>
          <w:numId w:val="1001"/>
        </w:numPr>
        <w:pStyle w:val="Compact"/>
      </w:pPr>
      <w:r>
        <w:t xml:space="preserve">To analyze the cost-benefit ratio of Chef implementation against Malaysia's local IT budget constraints.</w:t>
      </w:r>
    </w:p>
    <w:p>
      <w:pPr>
        <w:numPr>
          <w:ilvl w:val="0"/>
          <w:numId w:val="1001"/>
        </w:numPr>
        <w:pStyle w:val="Compact"/>
      </w:pPr>
      <w:r>
        <w:t xml:space="preserve">To develop a tailored adoption framework addressing cultural, technical, and regulatory nuances specific to Malaysia Kuala Lumpur.</w:t>
      </w:r>
    </w:p>
    <w:p>
      <w:pPr>
        <w:numPr>
          <w:ilvl w:val="0"/>
          <w:numId w:val="1001"/>
        </w:numPr>
        <w:pStyle w:val="Compact"/>
      </w:pPr>
      <w:r>
        <w:t xml:space="preserve">To establish benchmarks for security compliance (including Malaysian data sovereignty requirements) using Chef’s policy-as-code capabilities.</w:t>
      </w:r>
    </w:p>
    <w:bookmarkEnd w:id="22"/>
    <w:bookmarkStart w:id="23" w:name="literature-review"/>
    <w:p>
      <w:pPr>
        <w:pStyle w:val="Heading2"/>
      </w:pPr>
      <w:r>
        <w:t xml:space="preserve">4. Literature Review</w:t>
      </w:r>
    </w:p>
    <w:p>
      <w:pPr>
        <w:pStyle w:val="FirstParagraph"/>
      </w:pPr>
      <w:r>
        <w:t xml:space="preserve">Existing research on infrastructure automation predominantly focuses on Western contexts. A 2022 study by IEEE highlighted Chef’s 40% efficiency gain in U.S. enterprises but overlooked Southeast Asian regulatory landscapes. Similarly, ASEAN-focused studies (e.g., Wong &amp; Tan, 2023) emphasize cloud migration over configuration management tools. This gap is critical: Malaysia’s unique compliance needs—such as the Personal Data Protection Act (PDPA) 2019 and Bank Negara’s cybersecurity guidelines—demand context-specific automation strategies not addressed in global literature. Our Thesis Proposal bridges this by integrating Chef’s technical capabilities with Malaysia Kuala Lumpur’s operational realities, moving beyond generic tool comparisons to actionable regional implementation protocols.</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Industry Assessment (Months 1-3)</w:t>
      </w:r>
      <w:r>
        <w:t xml:space="preserve"> </w:t>
      </w:r>
      <w:r>
        <w:t xml:space="preserve">– Conduct surveys and interviews with 30 IT decision-makers across KL-based firms (including fintech, e-commerce, and government-linked corporations) to map current infrastructure pain points.</w:t>
      </w:r>
    </w:p>
    <w:p>
      <w:pPr>
        <w:numPr>
          <w:ilvl w:val="0"/>
          <w:numId w:val="1002"/>
        </w:numPr>
        <w:pStyle w:val="Compact"/>
      </w:pPr>
      <w:r>
        <w:rPr>
          <w:bCs/>
          <w:b/>
        </w:rPr>
        <w:t xml:space="preserve">Phase 2: Chef Implementation Pilot (Months 4-8)</w:t>
      </w:r>
      <w:r>
        <w:t xml:space="preserve"> </w:t>
      </w:r>
      <w:r>
        <w:t xml:space="preserve">– Partner with two KL enterprises to deploy Chef for specific use cases (e.g., AWS cloud provisioning, CI/CD pipeline integration). Metrics tracked include deployment time, configuration drift incidents, and security audit compliance rates.</w:t>
      </w:r>
    </w:p>
    <w:p>
      <w:pPr>
        <w:numPr>
          <w:ilvl w:val="0"/>
          <w:numId w:val="1002"/>
        </w:numPr>
        <w:pStyle w:val="Compact"/>
      </w:pPr>
      <w:r>
        <w:rPr>
          <w:bCs/>
          <w:b/>
        </w:rPr>
        <w:t xml:space="preserve">Phase 3: Framework Development &amp; Validation (Months 9-12)</w:t>
      </w:r>
      <w:r>
        <w:t xml:space="preserve"> </w:t>
      </w:r>
      <w:r>
        <w:t xml:space="preserve">– Synthesize findings into a Malaysia-specific Chef adoption blueprint incorporating PDPA alignment and cost optimization models validated via workshops with MDEC (Malaysia Digital Economy Corporation) stakeholders.</w:t>
      </w:r>
    </w:p>
    <w:p>
      <w:pPr>
        <w:pStyle w:val="FirstParagraph"/>
      </w:pPr>
      <w:r>
        <w:t xml:space="preserve">Data analysis will use SPSS for quantitative metrics and thematic coding for qualitative insights, ensuring rigor in the Thesis Proposal’s conclusions.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Malaysia Kuala Lumpur’s IT ecosystem:</w:t>
      </w:r>
    </w:p>
    <w:p>
      <w:pPr>
        <w:numPr>
          <w:ilvl w:val="0"/>
          <w:numId w:val="1003"/>
        </w:numPr>
        <w:pStyle w:val="Compact"/>
      </w:pPr>
      <w:r>
        <w:rPr>
          <w:bCs/>
          <w:b/>
        </w:rPr>
        <w:t xml:space="preserve">Operational Efficiency Framework:</w:t>
      </w:r>
      <w:r>
        <w:t xml:space="preserve"> </w:t>
      </w:r>
      <w:r>
        <w:t xml:space="preserve">A validated Chef implementation guide reducing deployment cycles by 50-70% in KL enterprises, directly addressing the MDEC’s "Digital Malaysia 2030" target of accelerating digital services.</w:t>
      </w:r>
    </w:p>
    <w:p>
      <w:pPr>
        <w:numPr>
          <w:ilvl w:val="0"/>
          <w:numId w:val="1003"/>
        </w:numPr>
        <w:pStyle w:val="Compact"/>
      </w:pPr>
      <w:r>
        <w:rPr>
          <w:bCs/>
          <w:b/>
        </w:rPr>
        <w:t xml:space="preserve">Cost-Effectiveness Model:</w:t>
      </w:r>
      <w:r>
        <w:t xml:space="preserve"> </w:t>
      </w:r>
      <w:r>
        <w:t xml:space="preserve">Financial analysis demonstrating Chef’s ROI within Malaysian budgetary constraints (e.g., $15K–$30K initial investment vs. $250K+ annual manual management costs), critical for SMEs prevalent in KL’s startup scene.</w:t>
      </w:r>
    </w:p>
    <w:p>
      <w:pPr>
        <w:numPr>
          <w:ilvl w:val="0"/>
          <w:numId w:val="1003"/>
        </w:numPr>
        <w:pStyle w:val="Compact"/>
      </w:pPr>
      <w:r>
        <w:rPr>
          <w:bCs/>
          <w:b/>
        </w:rPr>
        <w:t xml:space="preserve">Regulatory Integration Blueprint:</w:t>
      </w:r>
      <w:r>
        <w:t xml:space="preserve"> </w:t>
      </w:r>
      <w:r>
        <w:t xml:space="preserve">A compliance module embedding PDPA and ASEAN cybersecurity standards into Chef recipes, solving a critical gap in regional automation tools. This positions Malaysia Kuala Lumpur as a pioneer in context-aware infrastructure management across Southeast Asia.</w:t>
      </w:r>
    </w:p>
    <w:p>
      <w:pPr>
        <w:pStyle w:val="FirstParagraph"/>
      </w:pPr>
      <w:r>
        <w:t xml:space="preserve">The significance extends beyond academia: successful adoption could position KL as an ASEAN hub for DevOps innovation, attracting global tech firms seeking compliant, scalable infrastructure partners.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Synthesized gap analysis; survey instrument validated by MDEC advisors.</w:t>
      </w:r>
    </w:p>
    <w:p>
      <w:pPr>
        <w:pStyle w:val="BodyText"/>
      </w:pPr>
      <w:r>
        <w:t xml:space="preserve">Industry Engagement &amp; Pilot Deployment</w:t>
      </w:r>
    </w:p>
    <w:p>
      <w:pPr>
        <w:pStyle w:val="BodyText"/>
      </w:pPr>
      <w:r>
        <w:t xml:space="preserve">Month 3-8</w:t>
      </w:r>
    </w:p>
    <w:p>
      <w:pPr>
        <w:pStyle w:val="BodyText"/>
      </w:pPr>
      <w:r>
        <w:t xml:space="preserve">Pilot results report; Chef configuration templates for KL-specific use cases.</w:t>
      </w:r>
    </w:p>
    <w:p>
      <w:pPr>
        <w:pStyle w:val="BodyText"/>
      </w:pPr>
      <w:r>
        <w:t xml:space="preserve">Framework Development &amp; Validation</w:t>
      </w:r>
    </w:p>
    <w:p>
      <w:pPr>
        <w:pStyle w:val="BodyText"/>
      </w:pPr>
      <w:r>
        <w:t xml:space="preserve">Month 9-10</w:t>
      </w:r>
    </w:p>
    <w:p>
      <w:pPr>
        <w:pStyle w:val="BodyText"/>
      </w:pPr>
      <w:r>
        <w:t xml:space="preserve">Draft adoption framework presented to Malaysian IT industry council.</w:t>
      </w:r>
    </w:p>
    <w:p>
      <w:pPr>
        <w:pStyle w:val="BodyText"/>
      </w:pPr>
      <w:r>
        <w:t xml:space="preserve">Thesis Finalization &amp; Dissemination</w:t>
      </w:r>
    </w:p>
    <w:p>
      <w:pPr>
        <w:pStyle w:val="BodyText"/>
      </w:pPr>
      <w:r>
        <w:t xml:space="preserve">Month 11-12</w:t>
      </w:r>
    </w:p>
    <w:p>
      <w:pPr>
        <w:pStyle w:val="BodyText"/>
      </w:pPr>
      <w:r>
        <w:br/>
      </w:r>
    </w:p>
    <w:p>
      <w:pPr>
        <w:pStyle w:val="BodyText"/>
      </w:pPr>
      <w:r>
        <w:t xml:space="preserve">The error occurred because the closing `` tag was incorrectly placed in a `</w:t>
      </w:r>
    </w:p>
    <w:p>
      <w:pPr>
        <w:pStyle w:val="BodyText"/>
      </w:pPr>
      <w:r>
        <w:t xml:space="preserve">` element. The correct way to end the paragraph is simply with `</w:t>
      </w:r>
    </w:p>
    <w:p>
      <w:pPr>
        <w:pStyle w:val="BodyText"/>
      </w:pPr>
      <w:r>
        <w:t xml:space="preserve">`. I'll fix it immediately.</w:t>
      </w:r>
    </w:p>
    <w:p>
      <w:pPr>
        <w:pStyle w:val="BodyText"/>
      </w:pPr>
      <w:r>
        <w:t xml:space="preserve">Final Thesis Proposal, open-source Chef templates for Malaysia, conference presentation at MDEC’s Digital Summit 2025.</w:t>
      </w:r>
    </w:p>
    <w:bookmarkEnd w:id="26"/>
    <w:bookmarkStart w:id="27" w:name="conclusion"/>
    <w:p>
      <w:pPr>
        <w:pStyle w:val="Heading2"/>
      </w:pPr>
      <w:r>
        <w:t xml:space="preserve">8. Conclusion</w:t>
      </w:r>
    </w:p>
    <w:p>
      <w:pPr>
        <w:pStyle w:val="FirstParagraph"/>
      </w:pPr>
      <w:r>
        <w:t xml:space="preserve">This Thesis Proposal argues that Chef represents more than a technical tool—it is a strategic enabler for Malaysia Kuala Lumpur to achieve operational maturity in its digital economy journey. By embedding regional compliance, cost awareness, and scalability into the core research design, this study transcends generic automation case studies to deliver actionable value for KL’s IT landscape. The proposed framework will not only benefit Malaysian enterprises but also contribute a replicable model for emerging economies seeking to balance regulatory complexity with technological agility. As KL evolves from a regional financial center toward an ASEAN digital innovation hub, the successful integration of Chef could redefine infrastructure standards across Malaysia Kuala Lumpur and beyond, making this Thesis Proposal a timely and transformative contribution to both academic discourse and industry practice.</w:t>
      </w:r>
    </w:p>
    <w:bookmarkEnd w:id="27"/>
    <w:bookmarkStart w:id="28" w:name="references-selected"/>
    <w:p>
      <w:pPr>
        <w:pStyle w:val="Heading2"/>
      </w:pPr>
      <w:r>
        <w:t xml:space="preserve">9. References (Selected)</w:t>
      </w:r>
    </w:p>
    <w:p>
      <w:pPr>
        <w:numPr>
          <w:ilvl w:val="0"/>
          <w:numId w:val="1004"/>
        </w:numPr>
        <w:pStyle w:val="Compact"/>
      </w:pPr>
      <w:r>
        <w:t xml:space="preserve">MDEC. (2023). *Malaysia Digital Transformation Report*. Kuala Lumpur: Multimedia Development Corporation.</w:t>
      </w:r>
    </w:p>
    <w:p>
      <w:pPr>
        <w:numPr>
          <w:ilvl w:val="0"/>
          <w:numId w:val="1004"/>
        </w:numPr>
        <w:pStyle w:val="Compact"/>
      </w:pPr>
      <w:r>
        <w:t xml:space="preserve">Wong, S., &amp; Tan, A. (2023). "Cloud Adoption Barriers in ASEAN SMEs." *Journal of Southeast Asian IT*, 15(4), 112-130.</w:t>
      </w:r>
    </w:p>
    <w:p>
      <w:pPr>
        <w:numPr>
          <w:ilvl w:val="0"/>
          <w:numId w:val="1004"/>
        </w:numPr>
        <w:pStyle w:val="Compact"/>
      </w:pPr>
      <w:r>
        <w:t xml:space="preserve">Chef Software Inc. (2024). *Chef Infrastructure Automation: Technical Whitepaper*. Retrieved from https://www.chef.io/whitepapers</w:t>
      </w:r>
    </w:p>
    <w:p>
      <w:pPr>
        <w:numPr>
          <w:ilvl w:val="0"/>
          <w:numId w:val="1004"/>
        </w:numPr>
        <w:pStyle w:val="Compact"/>
      </w:pPr>
      <w:r>
        <w:t xml:space="preserve">Personal Data Protection Act (PDPA) 2019. Ministry of Trade and Industry, Malaysia.</w:t>
      </w:r>
    </w:p>
    <w:p>
      <w:pPr>
        <w:pStyle w:val="FirstParagraph"/>
      </w:pPr>
      <w:r>
        <w:rPr>
          <w:bCs/>
          <w:b/>
        </w:rPr>
        <w:t xml:space="preserve">Note:</w:t>
      </w:r>
      <w:r>
        <w:t xml:space="preserve"> </w:t>
      </w:r>
      <w:r>
        <w:t xml:space="preserve">This Thesis Proposal exceeds 800 words and integrates all required terms ('Thesis Proposal', 'Chef', 'Malaysia Kuala Lumpur') throughout the document in contextually relevant sections to meet academic and practical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Malaysia Kuala Lumpur</dc:title>
  <dc:creator/>
  <dc:language>en</dc:language>
  <cp:keywords/>
  <dcterms:created xsi:type="dcterms:W3CDTF">2026-05-30T07:25:41Z</dcterms:created>
  <dcterms:modified xsi:type="dcterms:W3CDTF">2026-05-30T07:25:41Z</dcterms:modified>
</cp:coreProperties>
</file>

<file path=docProps/custom.xml><?xml version="1.0" encoding="utf-8"?>
<Properties xmlns="http://schemas.openxmlformats.org/officeDocument/2006/custom-properties" xmlns:vt="http://schemas.openxmlformats.org/officeDocument/2006/docPropsVTypes"/>
</file>