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Qatar</w:t>
      </w:r>
      <w:r>
        <w:t xml:space="preserve"> </w:t>
      </w:r>
      <w:r>
        <w:t xml:space="preserve">Doha</w:t>
      </w:r>
    </w:p>
    <w:bookmarkStart w:id="28" w:name="Xdd8d972b2be7ebd0507f365c65fe099049ff8a8"/>
    <w:p>
      <w:pPr>
        <w:pStyle w:val="Heading1"/>
      </w:pPr>
      <w:r>
        <w:t xml:space="preserve">Thesis Proposal: Implementing Chef for Infrastructure Automation in Qatar Doha</w:t>
      </w:r>
    </w:p>
    <w:bookmarkStart w:id="20" w:name="introduction-and-context"/>
    <w:p>
      <w:pPr>
        <w:pStyle w:val="Heading2"/>
      </w:pPr>
      <w:r>
        <w:t xml:space="preserve">Introduction and Context</w:t>
      </w:r>
    </w:p>
    <w:p>
      <w:pPr>
        <w:pStyle w:val="FirstParagraph"/>
      </w:pPr>
      <w:r>
        <w:t xml:space="preserve">The rapid digital transformation of Qatar, particularly within the vibrant hub of Doha, is a cornerstone of the nation's Vision 2030 strategy. As Qatar accelerates its smart city initiatives—encompassing sectors like government services, healthcare, transportation (e.g., Hamad International Airport), and energy infrastructure—the demand for agile, reliable, and scalable IT operations has surged exponentially. This Thesis Proposal outlines a focused research project investigating the strategic implementation of</w:t>
      </w:r>
      <w:r>
        <w:t xml:space="preserve"> </w:t>
      </w:r>
      <w:r>
        <w:rPr>
          <w:bCs/>
          <w:b/>
        </w:rPr>
        <w:t xml:space="preserve">Chef</w:t>
      </w:r>
      <w:r>
        <w:t xml:space="preserve"> </w:t>
      </w:r>
      <w:r>
        <w:t xml:space="preserve">as a foundational tool for Infrastructure as Code (IaC) within the unique operational and cultural landscape of Qatar Doha. The proposal argues that Chef’s configuration management capabilities are not merely beneficial but essential for Qatar to achieve its ambitious digital objectives efficiently, securely, and sustainably in Doha's dynamic environment.</w:t>
      </w:r>
    </w:p>
    <w:bookmarkEnd w:id="20"/>
    <w:bookmarkStart w:id="21" w:name="problem-statement"/>
    <w:p>
      <w:pPr>
        <w:pStyle w:val="Heading2"/>
      </w:pPr>
      <w:r>
        <w:t xml:space="preserve">Problem Statement</w:t>
      </w:r>
    </w:p>
    <w:p>
      <w:pPr>
        <w:pStyle w:val="FirstParagraph"/>
      </w:pPr>
      <w:r>
        <w:t xml:space="preserve">Currently, many IT operations across key Qatari institutions in Doha rely on manual configuration processes or fragmented automation tools. This leads to critical challenges: inconsistent system configurations (configuration drift), prolonged deployment cycles hindering rapid service delivery, increased human error rates during system updates, and significant operational costs—directly conflicting with Qatar's national priorities for efficiency and innovation. The absence of a unified infrastructure automation framework is particularly detrimental as Doha hosts massive projects like Lusail City and the post-World Cup digital infrastructure surge. Without standardized automation, maintaining compliance with Qatar's evolving cybersecurity regulations (e.g., NISPA) becomes increasingly complex, risking operational resilience during high-stakes events and daily service provision across Doha.</w:t>
      </w:r>
    </w:p>
    <w:bookmarkEnd w:id="21"/>
    <w:bookmarkStart w:id="22" w:name="research-objectives"/>
    <w:p>
      <w:pPr>
        <w:pStyle w:val="Heading2"/>
      </w:pPr>
      <w:r>
        <w:t xml:space="preserve">Research Objectives</w:t>
      </w:r>
    </w:p>
    <w:p>
      <w:pPr>
        <w:pStyle w:val="FirstParagraph"/>
      </w:pPr>
      <w:r>
        <w:t xml:space="preserve">This Thesis Proposal centers on three primary objectives to address the identified gap:</w:t>
      </w:r>
    </w:p>
    <w:p>
      <w:pPr>
        <w:numPr>
          <w:ilvl w:val="0"/>
          <w:numId w:val="1001"/>
        </w:numPr>
        <w:pStyle w:val="Compact"/>
      </w:pPr>
      <w:r>
        <w:rPr>
          <w:bCs/>
          <w:b/>
        </w:rPr>
        <w:t xml:space="preserve">Contextual Assessment:</w:t>
      </w:r>
      <w:r>
        <w:t xml:space="preserve"> </w:t>
      </w:r>
      <w:r>
        <w:t xml:space="preserve">To rigorously evaluate the specific infrastructure challenges, existing tooling, and cultural readiness for IaC adoption within prominent Qatari organizations based in Doha (e.g., government entities like MoHRE or private sector leaders such as Qatar Airways IT).</w:t>
      </w:r>
    </w:p>
    <w:p>
      <w:pPr>
        <w:numPr>
          <w:ilvl w:val="0"/>
          <w:numId w:val="1001"/>
        </w:numPr>
        <w:pStyle w:val="Compact"/>
      </w:pPr>
      <w:r>
        <w:rPr>
          <w:bCs/>
          <w:b/>
        </w:rPr>
        <w:t xml:space="preserve">Chef Implementation Framework:</w:t>
      </w:r>
      <w:r>
        <w:t xml:space="preserve"> </w:t>
      </w:r>
      <w:r>
        <w:t xml:space="preserve">To design, develop, and validate a tailored Chef-based automation framework specifically optimized for the operational constraints, regulatory requirements (e.g., data sovereignty within Qatar), and cloud-native deployment patterns prevalent in Doha's digital ecosystem (including hybrid cloud environments common in Qatari enterprises).</w:t>
      </w:r>
    </w:p>
    <w:p>
      <w:pPr>
        <w:numPr>
          <w:ilvl w:val="0"/>
          <w:numId w:val="1001"/>
        </w:numPr>
        <w:pStyle w:val="Compact"/>
      </w:pPr>
      <w:r>
        <w:rPr>
          <w:bCs/>
          <w:b/>
        </w:rPr>
        <w:t xml:space="preserve">Impact Quantification:</w:t>
      </w:r>
      <w:r>
        <w:t xml:space="preserve"> </w:t>
      </w:r>
      <w:r>
        <w:t xml:space="preserve">To measure and demonstrate quantifiable improvements in key metrics—deployment velocity, configuration consistency, incident resolution time, and operational cost reduction—within a pilot environment simulating critical Doha-based infrastructure needs.</w:t>
      </w:r>
    </w:p>
    <w:bookmarkEnd w:id="22"/>
    <w:bookmarkStart w:id="23" w:name="rationale-for-chef-in-qatar-doha"/>
    <w:p>
      <w:pPr>
        <w:pStyle w:val="Heading2"/>
      </w:pPr>
      <w:r>
        <w:t xml:space="preserve">Rationale for Chef in Qatar Doha</w:t>
      </w:r>
    </w:p>
    <w:p>
      <w:pPr>
        <w:pStyle w:val="FirstParagraph"/>
      </w:pPr>
      <w:r>
        <w:t xml:space="preserve">Why Chef? Unlike generic automation tools, Chef offers unparalleled capabilities crucial for Qatar's context:</w:t>
      </w:r>
    </w:p>
    <w:p>
      <w:pPr>
        <w:numPr>
          <w:ilvl w:val="0"/>
          <w:numId w:val="1002"/>
        </w:numPr>
        <w:pStyle w:val="Compact"/>
      </w:pPr>
      <w:r>
        <w:rPr>
          <w:bCs/>
          <w:b/>
        </w:rPr>
        <w:t xml:space="preserve">Idempotency &amp; Compliance:</w:t>
      </w:r>
      <w:r>
        <w:t xml:space="preserve"> </w:t>
      </w:r>
      <w:r>
        <w:t xml:space="preserve">Chef ensures systems are configured exactly as defined, every time. This is paramount in Doha for meeting stringent Qatari data governance and cybersecurity standards without manual rework.</w:t>
      </w:r>
    </w:p>
    <w:p>
      <w:pPr>
        <w:numPr>
          <w:ilvl w:val="0"/>
          <w:numId w:val="1002"/>
        </w:numPr>
        <w:pStyle w:val="Compact"/>
      </w:pPr>
      <w:r>
        <w:rPr>
          <w:bCs/>
          <w:b/>
        </w:rPr>
        <w:t xml:space="preserve">Scalability &amp; Resilience:</w:t>
      </w:r>
      <w:r>
        <w:t xml:space="preserve"> </w:t>
      </w:r>
      <w:r>
        <w:t xml:space="preserve">As Qatar’s digital footprint expands (e.g., new smart city districts in Doha), Chef scales effortlessly from a single server to thousands, supporting the nation's growth trajectory without operational chaos.</w:t>
      </w:r>
    </w:p>
    <w:p>
      <w:pPr>
        <w:numPr>
          <w:ilvl w:val="0"/>
          <w:numId w:val="1002"/>
        </w:numPr>
        <w:pStyle w:val="Compact"/>
      </w:pPr>
      <w:r>
        <w:rPr>
          <w:bCs/>
          <w:b/>
        </w:rPr>
        <w:t xml:space="preserve">Cloud-Native Integration:</w:t>
      </w:r>
      <w:r>
        <w:t xml:space="preserve"> </w:t>
      </w:r>
      <w:r>
        <w:t xml:space="preserve">Chef integrates seamlessly with Qatar's preferred cloud platforms (AWS Middle East regions, local data centers like QDVC) and modern DevOps pipelines—essential for Doha’s enterprise IT modernization efforts.</w:t>
      </w:r>
    </w:p>
    <w:p>
      <w:pPr>
        <w:numPr>
          <w:ilvl w:val="0"/>
          <w:numId w:val="1002"/>
        </w:numPr>
        <w:pStyle w:val="Compact"/>
      </w:pPr>
      <w:r>
        <w:rPr>
          <w:bCs/>
          <w:b/>
        </w:rPr>
        <w:t xml:space="preserve">Community &amp; Support:</w:t>
      </w:r>
      <w:r>
        <w:t xml:space="preserve"> </w:t>
      </w:r>
      <w:r>
        <w:t xml:space="preserve">Chef’s extensive global community and commercial support ensure long-term viability, aligning with Qatar’s investment in sustainable technology partnerships.</w:t>
      </w:r>
    </w:p>
    <w:bookmarkEnd w:id="23"/>
    <w:bookmarkStart w:id="24" w:name="methodology"/>
    <w:p>
      <w:pPr>
        <w:pStyle w:val="Heading2"/>
      </w:pPr>
      <w:r>
        <w:t xml:space="preserve">Methodology</w:t>
      </w:r>
    </w:p>
    <w:p>
      <w:pPr>
        <w:pStyle w:val="FirstParagraph"/>
      </w:pPr>
      <w:r>
        <w:t xml:space="preserve">This research employs a mixed-methods approach:</w:t>
      </w:r>
    </w:p>
    <w:p>
      <w:pPr>
        <w:numPr>
          <w:ilvl w:val="0"/>
          <w:numId w:val="1003"/>
        </w:numPr>
        <w:pStyle w:val="Compact"/>
      </w:pPr>
      <w:r>
        <w:rPr>
          <w:bCs/>
          <w:b/>
        </w:rPr>
        <w:t xml:space="preserve">Stakeholder Interviews &amp; Surveys:</w:t>
      </w:r>
      <w:r>
        <w:t xml:space="preserve"> </w:t>
      </w:r>
      <w:r>
        <w:t xml:space="preserve">Conducted with IT leaders across Doha-based organizations to identify pain points and readiness factors.</w:t>
      </w:r>
    </w:p>
    <w:p>
      <w:pPr>
        <w:numPr>
          <w:ilvl w:val="0"/>
          <w:numId w:val="1003"/>
        </w:numPr>
        <w:pStyle w:val="Compact"/>
      </w:pPr>
      <w:r>
        <w:rPr>
          <w:bCs/>
          <w:b/>
        </w:rPr>
        <w:t xml:space="preserve">Pilot Implementation:</w:t>
      </w:r>
      <w:r>
        <w:t xml:space="preserve"> </w:t>
      </w:r>
      <w:r>
        <w:t xml:space="preserve">Deployment of a Chef-managed infrastructure sandbox within a controlled environment (e.g., simulating a government service portal) in Doha. This includes writing Chef cookbooks tailored to Qatari compliance needs (e.g., specific encryption standards, logging requirements).</w:t>
      </w:r>
    </w:p>
    <w:p>
      <w:pPr>
        <w:numPr>
          <w:ilvl w:val="0"/>
          <w:numId w:val="1003"/>
        </w:numPr>
        <w:pStyle w:val="Compact"/>
      </w:pPr>
      <w:r>
        <w:rPr>
          <w:bCs/>
          <w:b/>
        </w:rPr>
        <w:t xml:space="preserve">Performance Benchmarking:</w:t>
      </w:r>
      <w:r>
        <w:t xml:space="preserve"> </w:t>
      </w:r>
      <w:r>
        <w:t xml:space="preserve">Comparative analysis against current manual/semi-automated processes, measuring time-to-deploy, error rates, and cost per deployment before and after Chef integration.</w:t>
      </w:r>
    </w:p>
    <w:p>
      <w:pPr>
        <w:numPr>
          <w:ilvl w:val="0"/>
          <w:numId w:val="1003"/>
        </w:numPr>
        <w:pStyle w:val="Compact"/>
      </w:pPr>
      <w:r>
        <w:rPr>
          <w:bCs/>
          <w:b/>
        </w:rPr>
        <w:t xml:space="preserve">Cultural &amp; Operational Analysis:</w:t>
      </w:r>
      <w:r>
        <w:t xml:space="preserve"> </w:t>
      </w:r>
      <w:r>
        <w:t xml:space="preserve">Assessment of how Chef adoption impacts team workflows within the Qatari context, including training needs and change management strategies for Doha-based IT teams.</w:t>
      </w:r>
    </w:p>
    <w:bookmarkEnd w:id="24"/>
    <w:bookmarkStart w:id="25" w:name="expected-contributions-to-qatar-doha"/>
    <w:p>
      <w:pPr>
        <w:pStyle w:val="Heading2"/>
      </w:pPr>
      <w:r>
        <w:t xml:space="preserve">Expected Contributions to Qatar Doha</w:t>
      </w:r>
    </w:p>
    <w:p>
      <w:pPr>
        <w:pStyle w:val="FirstParagraph"/>
      </w:pPr>
      <w:r>
        <w:t xml:space="preserve">This Thesis Proposal promises significant value beyond academic research:</w:t>
      </w:r>
    </w:p>
    <w:p>
      <w:pPr>
        <w:numPr>
          <w:ilvl w:val="0"/>
          <w:numId w:val="1004"/>
        </w:numPr>
        <w:pStyle w:val="Compact"/>
      </w:pPr>
      <w:r>
        <w:rPr>
          <w:bCs/>
          <w:b/>
        </w:rPr>
        <w:t xml:space="preserve">Accelerated Digital Vision 2030 Delivery:</w:t>
      </w:r>
      <w:r>
        <w:t xml:space="preserve"> </w:t>
      </w:r>
      <w:r>
        <w:t xml:space="preserve">By providing a proven, scalable automation model, this work directly supports Qatar's national goal of becoming a "digital society" with efficient public services—critical for Doha’s status as a regional tech leader.</w:t>
      </w:r>
    </w:p>
    <w:p>
      <w:pPr>
        <w:numPr>
          <w:ilvl w:val="0"/>
          <w:numId w:val="1004"/>
        </w:numPr>
        <w:pStyle w:val="Compact"/>
      </w:pPr>
      <w:r>
        <w:rPr>
          <w:bCs/>
          <w:b/>
        </w:rPr>
        <w:t xml:space="preserve">Cost Optimization &amp; Resource Efficiency:</w:t>
      </w:r>
      <w:r>
        <w:t xml:space="preserve"> </w:t>
      </w:r>
      <w:r>
        <w:t xml:space="preserve">Reduced deployment times and minimized configuration errors translate to substantial operational savings for Qatari entities, freeing resources for higher-value innovation in Doha.</w:t>
      </w:r>
    </w:p>
    <w:p>
      <w:pPr>
        <w:numPr>
          <w:ilvl w:val="0"/>
          <w:numId w:val="1004"/>
        </w:numPr>
        <w:pStyle w:val="Compact"/>
      </w:pPr>
      <w:r>
        <w:rPr>
          <w:bCs/>
          <w:b/>
        </w:rPr>
        <w:t xml:space="preserve">Risk Mitigation:</w:t>
      </w:r>
      <w:r>
        <w:t xml:space="preserve"> </w:t>
      </w:r>
      <w:r>
        <w:t xml:space="preserve">Enhanced compliance and system resilience reduce exposure to security breaches and service outages, vital for Doha’s critical infrastructure (e.g., energy grids, healthcare systems).</w:t>
      </w:r>
    </w:p>
    <w:p>
      <w:pPr>
        <w:numPr>
          <w:ilvl w:val="0"/>
          <w:numId w:val="1004"/>
        </w:numPr>
        <w:pStyle w:val="Compact"/>
      </w:pPr>
      <w:r>
        <w:rPr>
          <w:bCs/>
          <w:b/>
        </w:rPr>
        <w:t xml:space="preserve">Workforce Development:</w:t>
      </w:r>
      <w:r>
        <w:t xml:space="preserve"> </w:t>
      </w:r>
      <w:r>
        <w:t xml:space="preserve">The framework will include training modules addressing the specific skill gaps in Qatar's IT workforce, fostering local expertise in cutting-edge infrastructure management using tools like Chef.</w:t>
      </w:r>
    </w:p>
    <w:bookmarkEnd w:id="25"/>
    <w:bookmarkStart w:id="26" w:name="conclusion-and-significance"/>
    <w:p>
      <w:pPr>
        <w:pStyle w:val="Heading2"/>
      </w:pPr>
      <w:r>
        <w:t xml:space="preserve">Conclusion and Significance</w:t>
      </w:r>
    </w:p>
    <w:p>
      <w:pPr>
        <w:pStyle w:val="FirstParagraph"/>
      </w:pPr>
      <w:r>
        <w:t xml:space="preserve">The implementation of Chef for infrastructure automation is not merely a technical upgrade; it is a strategic imperative for Qatar Doha to operationalize its digital future. This Thesis Proposal formally initiates the research necessary to validate Chef's effectiveness within Qatar's unique ecosystem, moving beyond theoretical adoption to actionable, context-specific deployment. By focusing squarely on the challenges and opportunities present in Doha—Qatar’s economic and technological engine—this work will deliver a replicable blueprint for national-scale infrastructure automation. The successful execution of this Thesis Proposal will equip Qatar Doha with a robust foundation for agile, secure, and cost-effective IT operations, directly contributing to the nation's prosperity under Vision 2030 and solidifying Doha's reputation as an innovative global city where modern DevOps practices drive tangible national progress.</w:t>
      </w:r>
    </w:p>
    <w:bookmarkEnd w:id="26"/>
    <w:bookmarkStart w:id="27" w:name="references-illustrative"/>
    <w:p>
      <w:pPr>
        <w:pStyle w:val="Heading2"/>
      </w:pPr>
      <w:r>
        <w:t xml:space="preserve">References (Illustrative)</w:t>
      </w:r>
    </w:p>
    <w:p>
      <w:pPr>
        <w:numPr>
          <w:ilvl w:val="0"/>
          <w:numId w:val="1005"/>
        </w:numPr>
        <w:pStyle w:val="Compact"/>
      </w:pPr>
      <w:r>
        <w:t xml:space="preserve">Qatar National Vision 2030. (2030). *Digital Transformation Strategy*. Government of Qatar.</w:t>
      </w:r>
    </w:p>
    <w:p>
      <w:pPr>
        <w:numPr>
          <w:ilvl w:val="0"/>
          <w:numId w:val="1005"/>
        </w:numPr>
        <w:pStyle w:val="Compact"/>
      </w:pPr>
      <w:r>
        <w:t xml:space="preserve">Chef Software Inc. (2023). *Chef Documentation: Infrastructure as Code for Modern IT*. https://docs.chef.io</w:t>
      </w:r>
    </w:p>
    <w:p>
      <w:pPr>
        <w:numPr>
          <w:ilvl w:val="0"/>
          <w:numId w:val="1005"/>
        </w:numPr>
        <w:pStyle w:val="Compact"/>
      </w:pPr>
      <w:r>
        <w:t xml:space="preserve">Qatar National Cybersecurity Strategy. (2021). Ministry of Transport and Communications.</w:t>
      </w:r>
    </w:p>
    <w:p>
      <w:pPr>
        <w:numPr>
          <w:ilvl w:val="0"/>
          <w:numId w:val="1005"/>
        </w:numPr>
        <w:pStyle w:val="Compact"/>
      </w:pPr>
      <w:r>
        <w:t xml:space="preserve">International Telecommunication Union (ITU). (2023). *Qatar Digital Connectivity Report*. Doha, Qatar.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Qatar Doha</dc:title>
  <dc:creator/>
  <dc:language>en</dc:language>
  <cp:keywords/>
  <dcterms:created xsi:type="dcterms:W3CDTF">2026-07-07T05:23:51Z</dcterms:created>
  <dcterms:modified xsi:type="dcterms:W3CDTF">2026-07-07T05:23:51Z</dcterms:modified>
</cp:coreProperties>
</file>

<file path=docProps/custom.xml><?xml version="1.0" encoding="utf-8"?>
<Properties xmlns="http://schemas.openxmlformats.org/officeDocument/2006/custom-properties" xmlns:vt="http://schemas.openxmlformats.org/officeDocument/2006/docPropsVTypes"/>
</file>