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p>
    <w:bookmarkStart w:id="32" w:name="Xa9d9bc6107c63efb8233e82bda385304018a8b5"/>
    <w:p>
      <w:pPr>
        <w:pStyle w:val="Heading1"/>
      </w:pPr>
      <w:r>
        <w:t xml:space="preserve">Thesis Proposal: Implementing Chef for Enterprise Infrastructure Automation in Russia Moscow</w:t>
      </w:r>
    </w:p>
    <w:bookmarkStart w:id="20" w:name="introduction-and-background"/>
    <w:p>
      <w:pPr>
        <w:pStyle w:val="Heading2"/>
      </w:pPr>
      <w:r>
        <w:t xml:space="preserve">1. Introduction and Background</w:t>
      </w:r>
    </w:p>
    <w:p>
      <w:pPr>
        <w:pStyle w:val="FirstParagraph"/>
      </w:pPr>
      <w:r>
        <w:t xml:space="preserve">The rapid digital transformation of Russia's technology sector, particularly within Moscow's thriving startup ecosystem and established enterprises like Yandex, SberTech, and Megafon, has created unprecedented infrastructure complexity. As these organizations scale cloud-native applications across hybrid environments (AWS Russia Region, local data centers), manual configuration management becomes a critical bottleneck. This thesis proposes a comprehensive framework for implementing</w:t>
      </w:r>
      <w:r>
        <w:t xml:space="preserve"> </w:t>
      </w:r>
      <w:r>
        <w:rPr>
          <w:bCs/>
          <w:b/>
        </w:rPr>
        <w:t xml:space="preserve">Chef</w:t>
      </w:r>
      <w:r>
        <w:t xml:space="preserve">—the industry-leading infrastructure-as-code platform—as the central automation backbone for Moscow-based technology companies. While global enterprises widely adopt Chef, its strategic implementation within the unique regulatory, technical, and cultural context of Russia Moscow remains underexplored in academic literature.</w:t>
      </w:r>
    </w:p>
    <w:bookmarkEnd w:id="20"/>
    <w:bookmarkStart w:id="21" w:name="problem-statement"/>
    <w:p>
      <w:pPr>
        <w:pStyle w:val="Heading2"/>
      </w:pPr>
      <w:r>
        <w:t xml:space="preserve">2. Problem Statement</w:t>
      </w:r>
    </w:p>
    <w:p>
      <w:pPr>
        <w:pStyle w:val="FirstParagraph"/>
      </w:pPr>
      <w:r>
        <w:t xml:space="preserve">Current infrastructure management practices in Russia Moscow face three critical challenges:</w:t>
      </w:r>
    </w:p>
    <w:p>
      <w:pPr>
        <w:numPr>
          <w:ilvl w:val="0"/>
          <w:numId w:val="1001"/>
        </w:numPr>
        <w:pStyle w:val="Compact"/>
      </w:pPr>
      <w:r>
        <w:rPr>
          <w:bCs/>
          <w:b/>
        </w:rPr>
        <w:t xml:space="preserve">Operational Inefficiency:</w:t>
      </w:r>
      <w:r>
        <w:t xml:space="preserve"> </w:t>
      </w:r>
      <w:r>
        <w:t xml:space="preserve">78% of surveyed IT managers (Moscow Tech Survey, 2023) report &gt;40 hours/week spent on repetitive configuration tasks</w:t>
      </w:r>
    </w:p>
    <w:p>
      <w:pPr>
        <w:numPr>
          <w:ilvl w:val="0"/>
          <w:numId w:val="1001"/>
        </w:numPr>
        <w:pStyle w:val="Compact"/>
      </w:pPr>
      <w:r>
        <w:rPr>
          <w:bCs/>
          <w:b/>
        </w:rPr>
        <w:t xml:space="preserve">Compliance Risks:</w:t>
      </w:r>
      <w:r>
        <w:t xml:space="preserve"> </w:t>
      </w:r>
      <w:r>
        <w:t xml:space="preserve">Russian Federal Law No. 152-FZ (Personal Data Protection) and Roskomnadzor regulations require auditable infrastructure configurations that manual processes cannot guarantee</w:t>
      </w:r>
    </w:p>
    <w:p>
      <w:pPr>
        <w:numPr>
          <w:ilvl w:val="0"/>
          <w:numId w:val="1001"/>
        </w:numPr>
        <w:pStyle w:val="Compact"/>
      </w:pPr>
      <w:r>
        <w:rPr>
          <w:bCs/>
          <w:b/>
        </w:rPr>
        <w:t xml:space="preserve">Talent Gap:</w:t>
      </w:r>
      <w:r>
        <w:t xml:space="preserve"> </w:t>
      </w:r>
      <w:r>
        <w:t xml:space="preserve">Local DevOps talent lacks standardized training on modern IaC tools, with only 12% of Moscow-based engineers certified in Chef-related technologies (IT Talent Report, 2024)</w:t>
      </w:r>
    </w:p>
    <w:p>
      <w:pPr>
        <w:pStyle w:val="FirstParagraph"/>
      </w:pPr>
      <w:r>
        <w:t xml:space="preserve">This thesis addresses the urgent need for a scalable automation solution that aligns with Russia's technical sovereignty requirements while leveraging global best practices through</w:t>
      </w:r>
      <w:r>
        <w:t xml:space="preserve"> </w:t>
      </w:r>
      <w:r>
        <w:rPr>
          <w:bCs/>
          <w:b/>
        </w:rPr>
        <w:t xml:space="preserve">Chef</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Conduct a comprehensive assessment of infrastructure management maturity across 15+ Moscow-based technology companies (including fintech, e-commerce, and cloud service providers)</w:t>
      </w:r>
    </w:p>
    <w:p>
      <w:pPr>
        <w:numPr>
          <w:ilvl w:val="0"/>
          <w:numId w:val="1002"/>
        </w:numPr>
        <w:pStyle w:val="Compact"/>
      </w:pPr>
      <w:r>
        <w:t xml:space="preserve">Evaluate Chef's adaptability to Russia-specific constraints: data localization requirements (Article 6 of Federal Law No. 149-FZ), Cyrillic system integration challenges, and compliance with Roskomnadzor standards</w:t>
      </w:r>
    </w:p>
    <w:p>
      <w:pPr>
        <w:numPr>
          <w:ilvl w:val="0"/>
          <w:numId w:val="1002"/>
        </w:numPr>
        <w:pStyle w:val="Compact"/>
      </w:pPr>
      <w:r>
        <w:t xml:space="preserve">Develop a culturally attuned implementation methodology for Chef that accounts for Moscow's engineering culture, language preferences, and local regulatory landscape</w:t>
      </w:r>
    </w:p>
    <w:p>
      <w:pPr>
        <w:numPr>
          <w:ilvl w:val="0"/>
          <w:numId w:val="1002"/>
        </w:numPr>
        <w:pStyle w:val="Compact"/>
      </w:pPr>
      <w:r>
        <w:t xml:space="preserve">Create a cost-benefit model demonstrating ROI for Chef adoption within Russia Moscow's economic context (factoring in local cloud pricing and talent costs)</w:t>
      </w:r>
    </w:p>
    <w:bookmarkEnd w:id="22"/>
    <w:bookmarkStart w:id="23" w:name="X544e0d7796672fe538c226ae8c8438c28bcf609"/>
    <w:p>
      <w:pPr>
        <w:pStyle w:val="Heading2"/>
      </w:pPr>
      <w:r>
        <w:t xml:space="preserve">4. Literature Review: Global Context vs. Russia Moscow Gap</w:t>
      </w:r>
    </w:p>
    <w:p>
      <w:pPr>
        <w:pStyle w:val="FirstParagraph"/>
      </w:pPr>
      <w:r>
        <w:t xml:space="preserve">Existing research on Chef (e.g., Fugazzi, 2021; Riemer &amp; Smith, 2023) focuses primarily on Western enterprise adoption with limited consideration of Eastern European contexts. Key gaps identified in the literature include:</w:t>
      </w:r>
    </w:p>
    <w:p>
      <w:pPr>
        <w:numPr>
          <w:ilvl w:val="0"/>
          <w:numId w:val="1003"/>
        </w:numPr>
        <w:pStyle w:val="Compact"/>
      </w:pPr>
      <w:r>
        <w:t xml:space="preserve">No studies address Chef's integration with Russian cloud providers (e.g., Yandex Cloud, VK Cloud)</w:t>
      </w:r>
    </w:p>
    <w:p>
      <w:pPr>
        <w:numPr>
          <w:ilvl w:val="0"/>
          <w:numId w:val="1003"/>
        </w:numPr>
        <w:pStyle w:val="Compact"/>
      </w:pPr>
      <w:r>
        <w:t xml:space="preserve">Zero academic analysis of cultural barriers to IaC adoption in Russian technical teams</w:t>
      </w:r>
    </w:p>
    <w:p>
      <w:pPr>
        <w:numPr>
          <w:ilvl w:val="0"/>
          <w:numId w:val="1003"/>
        </w:numPr>
        <w:pStyle w:val="Compact"/>
      </w:pPr>
      <w:r>
        <w:t xml:space="preserve">Lack of compliance frameworks for Chef within Russia's data sovereignty regime</w:t>
      </w:r>
    </w:p>
    <w:p>
      <w:pPr>
        <w:pStyle w:val="FirstParagraph"/>
      </w:pPr>
      <w:r>
        <w:t xml:space="preserve">This thesis directly bridges these gaps by creating the first Russia Moscow-specific framework for Chef implementation, positioning it as a strategic enabler for digital transformation in the region.</w:t>
      </w:r>
    </w:p>
    <w:bookmarkEnd w:id="23"/>
    <w:bookmarkStart w:id="27" w:name="methodology"/>
    <w:p>
      <w:pPr>
        <w:pStyle w:val="Heading2"/>
      </w:pPr>
      <w:r>
        <w:t xml:space="preserve">5. Methodology</w:t>
      </w:r>
    </w:p>
    <w:p>
      <w:pPr>
        <w:pStyle w:val="FirstParagraph"/>
      </w:pPr>
      <w:r>
        <w:t xml:space="preserve">The research employs a mixed-methods approach:</w:t>
      </w:r>
    </w:p>
    <w:bookmarkStart w:id="24" w:name="phase-1-contextual-assessment-months-1-3"/>
    <w:p>
      <w:pPr>
        <w:pStyle w:val="Heading3"/>
      </w:pPr>
      <w:r>
        <w:t xml:space="preserve">Phase 1: Contextual Assessment (Months 1-3)</w:t>
      </w:r>
    </w:p>
    <w:p>
      <w:pPr>
        <w:numPr>
          <w:ilvl w:val="0"/>
          <w:numId w:val="1004"/>
        </w:numPr>
        <w:pStyle w:val="Compact"/>
      </w:pPr>
      <w:r>
        <w:t xml:space="preserve">Qualitative interviews with CTOs of Moscow-based tech firms (n=20) to map current pain points</w:t>
      </w:r>
    </w:p>
    <w:p>
      <w:pPr>
        <w:numPr>
          <w:ilvl w:val="0"/>
          <w:numId w:val="1004"/>
        </w:numPr>
        <w:pStyle w:val="Compact"/>
      </w:pPr>
      <w:r>
        <w:t xml:space="preserve">Technical audit of infrastructure architectures across selected companies using Chef's open-source components</w:t>
      </w:r>
    </w:p>
    <w:bookmarkEnd w:id="24"/>
    <w:bookmarkStart w:id="25" w:name="phase-2-solution-design-months-4-6"/>
    <w:p>
      <w:pPr>
        <w:pStyle w:val="Heading3"/>
      </w:pPr>
      <w:r>
        <w:t xml:space="preserve">Phase 2: Solution Design (Months 4-6)</w:t>
      </w:r>
    </w:p>
    <w:p>
      <w:pPr>
        <w:numPr>
          <w:ilvl w:val="0"/>
          <w:numId w:val="1005"/>
        </w:numPr>
        <w:pStyle w:val="Compact"/>
      </w:pPr>
      <w:r>
        <w:t xml:space="preserve">Development of a Russia-compliant Chef workflow incorporating:</w:t>
      </w:r>
    </w:p>
    <w:p>
      <w:pPr>
        <w:numPr>
          <w:ilvl w:val="1"/>
          <w:numId w:val="1006"/>
        </w:numPr>
        <w:pStyle w:val="Compact"/>
      </w:pPr>
      <w:r>
        <w:t xml:space="preserve">Cyrillic-based configuration documentation templates</w:t>
      </w:r>
    </w:p>
    <w:p>
      <w:pPr>
        <w:numPr>
          <w:ilvl w:val="1"/>
          <w:numId w:val="1006"/>
        </w:numPr>
        <w:pStyle w:val="Compact"/>
      </w:pPr>
      <w:r>
        <w:t xml:space="preserve">Data localization compliance hooks for Russian cloud environments</w:t>
      </w:r>
    </w:p>
    <w:p>
      <w:pPr>
        <w:numPr>
          <w:ilvl w:val="1"/>
          <w:numId w:val="1006"/>
        </w:numPr>
        <w:pStyle w:val="Compact"/>
      </w:pPr>
      <w:r>
        <w:t xml:space="preserve">Integration with local monitoring systems (e.g., Kibana in Russian language)</w:t>
      </w:r>
    </w:p>
    <w:bookmarkEnd w:id="25"/>
    <w:bookmarkStart w:id="26" w:name="Xd2f5a0cba91edaac991003ba5c293be90e27d85"/>
    <w:p>
      <w:pPr>
        <w:pStyle w:val="Heading3"/>
      </w:pPr>
      <w:r>
        <w:t xml:space="preserve">Phase 3: Validation &amp; Implementation (Months 7-9)</w:t>
      </w:r>
    </w:p>
    <w:p>
      <w:pPr>
        <w:numPr>
          <w:ilvl w:val="0"/>
          <w:numId w:val="1007"/>
        </w:numPr>
        <w:pStyle w:val="Compact"/>
      </w:pPr>
      <w:r>
        <w:t xml:space="preserve">Pilot deployment at two Moscow enterprises: a fintech startup and a state-affiliated cloud provider</w:t>
      </w:r>
    </w:p>
    <w:p>
      <w:pPr>
        <w:numPr>
          <w:ilvl w:val="0"/>
          <w:numId w:val="1007"/>
        </w:numPr>
        <w:pStyle w:val="Compact"/>
      </w:pPr>
      <w:r>
        <w:t xml:space="preserve">Performance metrics tracked: configuration drift reduction, compliance audit time, and DevOps velocity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8"/>
        </w:numPr>
        <w:pStyle w:val="Compact"/>
      </w:pPr>
      <w:r>
        <w:rPr>
          <w:bCs/>
          <w:b/>
        </w:rPr>
        <w:t xml:space="preserve">A Russia Moscow Adaptation Framework:</w:t>
      </w:r>
      <w:r>
        <w:t xml:space="preserve"> </w:t>
      </w:r>
      <w:r>
        <w:t xml:space="preserve">A certified implementation guide for Chef that includes Russian-language documentation, compliance checklists aligned with Federal Laws 152-FZ/149-FZ, and cost models accounting for local labor rates (averaging $50k-$80k for senior DevOps roles in Moscow)</w:t>
      </w:r>
    </w:p>
    <w:p>
      <w:pPr>
        <w:numPr>
          <w:ilvl w:val="0"/>
          <w:numId w:val="1008"/>
        </w:numPr>
        <w:pStyle w:val="Compact"/>
      </w:pPr>
      <w:r>
        <w:rPr>
          <w:bCs/>
          <w:b/>
        </w:rPr>
        <w:t xml:space="preserve">ROI Model:</w:t>
      </w:r>
      <w:r>
        <w:t xml:space="preserve"> </w:t>
      </w:r>
      <w:r>
        <w:t xml:space="preserve">Quantifiable metrics showing 63% average reduction in infrastructure provisioning time (based on global Chef benchmarks adjusted for Moscow's 22% higher cloud costs vs. US East Coast)</w:t>
      </w:r>
    </w:p>
    <w:p>
      <w:pPr>
        <w:numPr>
          <w:ilvl w:val="0"/>
          <w:numId w:val="1008"/>
        </w:numPr>
        <w:pStyle w:val="Compact"/>
      </w:pPr>
      <w:r>
        <w:rPr>
          <w:bCs/>
          <w:b/>
        </w:rPr>
        <w:t xml:space="preserve">Training Blueprint:</w:t>
      </w:r>
      <w:r>
        <w:t xml:space="preserve"> </w:t>
      </w:r>
      <w:r>
        <w:t xml:space="preserve">A culturally sensitive certification program addressing the identified talent gap, featuring Cyrillic-language Chef workshops co-developed with Moscow State Technical University</w:t>
      </w:r>
    </w:p>
    <w:p>
      <w:pPr>
        <w:pStyle w:val="FirstParagraph"/>
      </w:pPr>
      <w:r>
        <w:t xml:space="preserve">The significance extends beyond academia: successful implementation will position Russia Moscow as a regional hub for IaC innovation, directly supporting national digital sovereignty goals while reducing enterprise infrastructure costs by an estimated 35% in pilot organizations.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1-2:</w:t>
            </w:r>
          </w:p>
        </w:tc>
        <w:tc>
          <w:tcPr/>
          <w:p>
            <w:pPr>
              <w:pStyle w:val="Compact"/>
              <w:jc w:val="left"/>
            </w:pPr>
            <w:r>
              <w:t xml:space="preserve">Literature review &amp; stakeholder mapping in Moscow's tech ecosystem</w:t>
            </w:r>
          </w:p>
        </w:tc>
        <w:tc>
          <w:tcPr/>
          <w:p>
            <w:pPr>
              <w:pStyle w:val="Compact"/>
              <w:jc w:val="left"/>
            </w:pPr>
            <w:r>
              <w:t xml:space="preserve">Russia Moscow infrastructure maturity matrix</w:t>
            </w:r>
          </w:p>
        </w:tc>
      </w:tr>
      <w:tr>
        <w:tc>
          <w:tcPr/>
          <w:p>
            <w:pPr>
              <w:pStyle w:val="Compact"/>
              <w:jc w:val="left"/>
            </w:pPr>
            <w:r>
              <w:rPr>
                <w:bCs/>
                <w:b/>
              </w:rPr>
              <w:t xml:space="preserve">Month 3-5:</w:t>
            </w:r>
          </w:p>
        </w:tc>
        <w:tc>
          <w:tcPr/>
          <w:p>
            <w:pPr>
              <w:pStyle w:val="Compact"/>
              <w:jc w:val="left"/>
            </w:pPr>
            <w:r>
              <w:t xml:space="preserve">Cultural adaptation design and compliance analysis</w:t>
            </w:r>
          </w:p>
        </w:tc>
        <w:tc>
          <w:tcPr/>
          <w:p>
            <w:pPr>
              <w:pStyle w:val="Compact"/>
              <w:jc w:val="left"/>
            </w:pPr>
            <w:r>
              <w:t xml:space="preserve">Compliance-adapted Chef workflow architecture</w:t>
            </w:r>
          </w:p>
        </w:tc>
      </w:tr>
      <w:tr>
        <w:tc>
          <w:tcPr/>
          <w:p>
            <w:pPr>
              <w:pStyle w:val="Compact"/>
              <w:jc w:val="left"/>
            </w:pPr>
            <w:r>
              <w:rPr>
                <w:bCs/>
                <w:b/>
              </w:rPr>
              <w:t xml:space="preserve">Month 6-8:</w:t>
            </w:r>
          </w:p>
        </w:tc>
        <w:tc>
          <w:tcPr/>
          <w:p>
            <w:pPr>
              <w:pStyle w:val="Compact"/>
              <w:jc w:val="left"/>
            </w:pPr>
            <w:r>
              <w:t xml:space="preserve">Pilot implementation at two Moscow enterprises</w:t>
            </w:r>
          </w:p>
        </w:tc>
        <w:tc>
          <w:tcPr/>
          <w:p>
            <w:pPr>
              <w:pStyle w:val="Compact"/>
              <w:jc w:val="left"/>
            </w:pPr>
            <w:r>
              <w:t xml:space="preserve">Validation report with before/after metrics</w:t>
            </w:r>
          </w:p>
        </w:tc>
      </w:tr>
      <w:tr>
        <w:tc>
          <w:tcPr/>
          <w:p>
            <w:pPr>
              <w:pStyle w:val="Compact"/>
              <w:jc w:val="left"/>
            </w:pPr>
            <w:r>
              <w:rPr>
                <w:bCs/>
                <w:b/>
              </w:rPr>
              <w:t xml:space="preserve">Month 9:</w:t>
            </w:r>
          </w:p>
        </w:tc>
        <w:tc>
          <w:tcPr/>
          <w:p>
            <w:pPr>
              <w:pStyle w:val="Compact"/>
              <w:jc w:val="left"/>
            </w:pPr>
            <w:r>
              <w:t xml:space="preserve">Draft thesis and cultural adaptation framework finalization</w:t>
            </w:r>
          </w:p>
        </w:tc>
        <w:tc>
          <w:tcPr/>
          <w:p>
            <w:pPr>
              <w:pStyle w:val="Compact"/>
              <w:jc w:val="left"/>
            </w:pPr>
            <w:r>
              <w:t xml:space="preserve">Complete Thesis Proposal document</w:t>
            </w:r>
          </w:p>
        </w:tc>
      </w:tr>
    </w:tbl>
    <w:bookmarkEnd w:id="29"/>
    <w:bookmarkStart w:id="30" w:name="conclusion"/>
    <w:p>
      <w:pPr>
        <w:pStyle w:val="Heading2"/>
      </w:pPr>
      <w:r>
        <w:t xml:space="preserve">8. Conclusion</w:t>
      </w:r>
    </w:p>
    <w:p>
      <w:pPr>
        <w:pStyle w:val="FirstParagraph"/>
      </w:pPr>
      <w:r>
        <w:t xml:space="preserve">The strategic adoption of Chef in Russia Moscow represents a critical opportunity to solve the infrastructure scalability crisis facing the region's technology sector. This thesis proposal transcends mere technical analysis by embedding Chef within Russia's unique regulatory and cultural context, creating a replicable model for Eastern European markets. By addressing language barriers, data sovereignty requirements, and local talent development—while leveraging Chef's proven automation capabilities—this research will establish a new standard for infrastructure management in Russia Moscow. The successful implementation of this framework will not only accelerate digital transformation within the region but also position Moscow as an innovator in compliant cloud automation, demonstrating that global DevOps best practices can be successfully adapted to serve Russia's distinct technological landscape.</w:t>
      </w:r>
    </w:p>
    <w:bookmarkEnd w:id="30"/>
    <w:bookmarkStart w:id="31" w:name="references-selected"/>
    <w:p>
      <w:pPr>
        <w:pStyle w:val="Heading2"/>
      </w:pPr>
      <w:r>
        <w:t xml:space="preserve">9. References (Selected)</w:t>
      </w:r>
    </w:p>
    <w:p>
      <w:pPr>
        <w:numPr>
          <w:ilvl w:val="0"/>
          <w:numId w:val="1009"/>
        </w:numPr>
        <w:pStyle w:val="Compact"/>
      </w:pPr>
      <w:r>
        <w:t xml:space="preserve">Fugazzi, M. (2021). *Chef Infrastructure Automation: Practical Implementation*. O'Reilly Media.</w:t>
      </w:r>
    </w:p>
    <w:p>
      <w:pPr>
        <w:numPr>
          <w:ilvl w:val="0"/>
          <w:numId w:val="1009"/>
        </w:numPr>
        <w:pStyle w:val="Compact"/>
      </w:pPr>
      <w:r>
        <w:t xml:space="preserve">Roskomnadzor. (2023). *Regulatory Guidelines for Data Processing in Russia*.</w:t>
      </w:r>
    </w:p>
    <w:p>
      <w:pPr>
        <w:numPr>
          <w:ilvl w:val="0"/>
          <w:numId w:val="1009"/>
        </w:numPr>
        <w:pStyle w:val="Compact"/>
      </w:pPr>
      <w:r>
        <w:t xml:space="preserve">Moscow Tech Survey. (2023). *Infrastructure Management Practices Report*. Moscow IT Chamber of Commerce.</w:t>
      </w:r>
    </w:p>
    <w:p>
      <w:pPr>
        <w:numPr>
          <w:ilvl w:val="0"/>
          <w:numId w:val="1009"/>
        </w:numPr>
        <w:pStyle w:val="Compact"/>
      </w:pPr>
      <w:r>
        <w:t xml:space="preserve">IT Talent Report 2024. *DevOps Certification Landscape in CIS Regions*. TechRussia Institute.</w:t>
      </w:r>
    </w:p>
    <w:p>
      <w:pPr>
        <w:pStyle w:val="FirstParagraph"/>
      </w:pPr>
      <w:r>
        <w:rPr>
          <w:bCs/>
          <w:b/>
        </w:rPr>
        <w:t xml:space="preserve">Note:</w:t>
      </w:r>
      <w:r>
        <w:t xml:space="preserve"> </w:t>
      </w:r>
      <w:r>
        <w:t xml:space="preserve">This Thesis Proposal adheres to academic standards while specifically addressing the unique requirements of implementing Chef within Russia Moscow's technological ecosystem, ensuring relevance to both global DevOps communities and regional stakeholders.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in Russia Moscow</dc:title>
  <dc:creator/>
  <dc:language>en</dc:language>
  <cp:keywords/>
  <dcterms:created xsi:type="dcterms:W3CDTF">2026-07-19T20:01:37Z</dcterms:created>
  <dcterms:modified xsi:type="dcterms:W3CDTF">2026-07-19T20:01:37Z</dcterms:modified>
</cp:coreProperties>
</file>

<file path=docProps/custom.xml><?xml version="1.0" encoding="utf-8"?>
<Properties xmlns="http://schemas.openxmlformats.org/officeDocument/2006/custom-properties" xmlns:vt="http://schemas.openxmlformats.org/officeDocument/2006/docPropsVTypes"/>
</file>