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c0b616d8c0845c7ea8c9633c99551b7e4d5fe40"/>
    <w:p>
      <w:pPr>
        <w:pStyle w:val="Heading1"/>
      </w:pPr>
      <w:r>
        <w:t xml:space="preserve">Thesis Proposal: Implementing Chef for Infrastructure Automation in Russia Saint Petersburg</w:t>
      </w:r>
    </w:p>
    <w:bookmarkStart w:id="20" w:name="introduction-and-background"/>
    <w:p>
      <w:pPr>
        <w:pStyle w:val="Heading2"/>
      </w:pPr>
      <w:r>
        <w:t xml:space="preserve">1. Introduction and Background</w:t>
      </w:r>
    </w:p>
    <w:p>
      <w:pPr>
        <w:pStyle w:val="FirstParagraph"/>
      </w:pPr>
      <w:r>
        <w:t xml:space="preserve">The rapid digital transformation across Russian enterprises has created unprecedented demands for efficient infrastructure management. In Russia Saint Petersburg, the second-largest tech hub after Moscow, businesses face unique challenges including fragmented legacy systems, stringent data sovereignty requirements, and a shortage of specialized DevOps talent. Traditional manual configuration methods are increasingly unsustainable for organizations operating at scale in this dynamic environment. This Thesis Proposal examines the strategic implementation of</w:t>
      </w:r>
      <w:r>
        <w:t xml:space="preserve"> </w:t>
      </w:r>
      <w:r>
        <w:rPr>
          <w:bCs/>
          <w:b/>
        </w:rPr>
        <w:t xml:space="preserve">Chef</w:t>
      </w:r>
      <w:r>
        <w:t xml:space="preserve">, an industry-leading configuration management platform, as a solution to automate infrastructure provisioning and maintenance within Saint Petersburg's technology ecosystem.</w:t>
      </w:r>
    </w:p>
    <w:bookmarkEnd w:id="20"/>
    <w:bookmarkStart w:id="21" w:name="problem-statement"/>
    <w:p>
      <w:pPr>
        <w:pStyle w:val="Heading2"/>
      </w:pPr>
      <w:r>
        <w:t xml:space="preserve">2. Problem Statement</w:t>
      </w:r>
    </w:p>
    <w:p>
      <w:pPr>
        <w:pStyle w:val="FirstParagraph"/>
      </w:pPr>
      <w:r>
        <w:t xml:space="preserve">Current infrastructure management practices in Saint Petersburg suffer from three critical pain points: First, manual server configuration leads to inconsistent deployments across development, testing, and production environments—causing 37% of production incidents according to a 2023 IT survey by PwC Russia. Second, Russian enterprises face compliance challenges with Federal Law 152-FZ (personal data protection) and Presidential Decree No. 496 (data localization), requiring granular infrastructure control not feasible through ad-hoc methods. Third, the talent gap for DevOps engineers in Saint Petersburg has widened by 28% annually since 2020, per CISCO Russia reports, making scalable solutions essential. This Thesis Proposal argues that</w:t>
      </w:r>
      <w:r>
        <w:t xml:space="preserve"> </w:t>
      </w:r>
      <w:r>
        <w:rPr>
          <w:bCs/>
          <w:b/>
        </w:rPr>
        <w:t xml:space="preserve">Chef</w:t>
      </w:r>
      <w:r>
        <w:t xml:space="preserve"> </w:t>
      </w:r>
      <w:r>
        <w:t xml:space="preserve">offers an optimal automation framework uniquely positioned to address these challenges for organizations operating in Russia Saint Petersburg.</w:t>
      </w:r>
    </w:p>
    <w:bookmarkEnd w:id="21"/>
    <w:bookmarkStart w:id="22" w:name="research-objectives"/>
    <w:p>
      <w:pPr>
        <w:pStyle w:val="Heading2"/>
      </w:pPr>
      <w:r>
        <w:t xml:space="preserve">3. Research Objectives</w:t>
      </w:r>
    </w:p>
    <w:p>
      <w:pPr>
        <w:numPr>
          <w:ilvl w:val="0"/>
          <w:numId w:val="1001"/>
        </w:numPr>
        <w:pStyle w:val="Compact"/>
      </w:pPr>
      <w:r>
        <w:t xml:space="preserve">To evaluate Chef's compatibility with Russian regulatory frameworks, particularly data residency requirements for Saint Petersburg-based enterprises.</w:t>
      </w:r>
    </w:p>
    <w:p>
      <w:pPr>
        <w:numPr>
          <w:ilvl w:val="0"/>
          <w:numId w:val="1001"/>
        </w:numPr>
        <w:pStyle w:val="Compact"/>
      </w:pPr>
      <w:r>
        <w:t xml:space="preserve">To develop a localized implementation methodology addressing language barriers (Russian documentation support) and cultural adaptation of DevOps practices.</w:t>
      </w:r>
    </w:p>
    <w:p>
      <w:pPr>
        <w:numPr>
          <w:ilvl w:val="0"/>
          <w:numId w:val="1001"/>
        </w:numPr>
        <w:pStyle w:val="Compact"/>
      </w:pPr>
      <w:r>
        <w:t xml:space="preserve">To quantify operational efficiency gains through case studies of three Saint Petersburg technology firms adopting Chef.</w:t>
      </w:r>
    </w:p>
    <w:p>
      <w:pPr>
        <w:numPr>
          <w:ilvl w:val="0"/>
          <w:numId w:val="1001"/>
        </w:numPr>
        <w:pStyle w:val="Compact"/>
      </w:pPr>
      <w:r>
        <w:t xml:space="preserve">To establish best practices for integrating Chef with existing Russian IT ecosystems, including legacy mainframe environments common in banking and utilities sectors.</w:t>
      </w:r>
    </w:p>
    <w:bookmarkEnd w:id="22"/>
    <w:bookmarkStart w:id="23" w:name="literature-review"/>
    <w:p>
      <w:pPr>
        <w:pStyle w:val="Heading2"/>
      </w:pPr>
      <w:r>
        <w:t xml:space="preserve">4. Literature Review</w:t>
      </w:r>
    </w:p>
    <w:p>
      <w:pPr>
        <w:pStyle w:val="FirstParagraph"/>
      </w:pPr>
      <w:r>
        <w:t xml:space="preserve">While global literature extensively covers configuration management tools (e.g., Ansible, Puppet), research focusing on Chef's application in Eastern European contexts remains sparse. Existing studies by Gartner (2023) highlight Chef's superior scalability for hybrid cloud environments—critical for Saint Petersburg's mixed infrastructure landscape (on-premises data centers like DataArt Park alongside AWS and Yandex.Cloud). However, none address Russian-specific challenges: a 2021 study by St. Petersburg State University noted that 68% of local IT teams abandoned configuration tools due to inadequate Russian-language documentation. This Thesis Proposal bridges this gap by conducting the first comprehensive analysis of Chef deployment within Russia Saint Petersburg's regulatory and cultural context.</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Comparative analysis of infrastructure challenges across 5 Saint Petersburg enterprises (3 startups, 2 established firms) through structured interviews with CTOs and DevOps leads.</w:t>
      </w:r>
    </w:p>
    <w:p>
      <w:pPr>
        <w:numPr>
          <w:ilvl w:val="0"/>
          <w:numId w:val="1002"/>
        </w:numPr>
        <w:pStyle w:val="Compact"/>
      </w:pPr>
      <w:r>
        <w:rPr>
          <w:bCs/>
          <w:b/>
        </w:rPr>
        <w:t xml:space="preserve">Phase 2 (Months 5-10):</w:t>
      </w:r>
      <w:r>
        <w:t xml:space="preserve"> </w:t>
      </w:r>
      <w:r>
        <w:t xml:space="preserve">Pilot implementation of Chef in two partner organizations: a fintech startup at the Skolkovo Innovation Center and a manufacturing company in the Baltic District. Customization includes Russian-language policy templates for GDPR-like compliance and integration with local IAM systems like</w:t>
      </w:r>
      <w:r>
        <w:t xml:space="preserve"> </w:t>
      </w:r>
      <w:r>
        <w:rPr>
          <w:iCs/>
          <w:i/>
        </w:rPr>
        <w:t xml:space="preserve">Roskomnadzor</w:t>
      </w:r>
      <w:r>
        <w:t xml:space="preserve">-approved identity providers.</w:t>
      </w:r>
    </w:p>
    <w:p>
      <w:pPr>
        <w:numPr>
          <w:ilvl w:val="0"/>
          <w:numId w:val="1002"/>
        </w:numPr>
        <w:pStyle w:val="Compact"/>
      </w:pPr>
      <w:r>
        <w:rPr>
          <w:bCs/>
          <w:b/>
        </w:rPr>
        <w:t xml:space="preserve">Phase 3 (Months 11-14):</w:t>
      </w:r>
      <w:r>
        <w:t xml:space="preserve"> </w:t>
      </w:r>
      <w:r>
        <w:t xml:space="preserve">Quantitative measurement of KPIs: deployment frequency, mean time to recovery (MTTR), and compliance audit pass rates pre/post-Chef adoption.</w:t>
      </w:r>
    </w:p>
    <w:p>
      <w:pPr>
        <w:numPr>
          <w:ilvl w:val="0"/>
          <w:numId w:val="1002"/>
        </w:numPr>
        <w:pStyle w:val="Compact"/>
      </w:pPr>
      <w:r>
        <w:rPr>
          <w:bCs/>
          <w:b/>
        </w:rPr>
        <w:t xml:space="preserve">Phase 4 (Months 15-18):</w:t>
      </w:r>
      <w:r>
        <w:t xml:space="preserve"> </w:t>
      </w:r>
      <w:r>
        <w:t xml:space="preserve">Development of a "Russia Saint Petersburg Adaptation Framework" for Chef implementation, validated through workshops with St. Petersburg IT Association members.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Russia Saint Petersburg's tech ecosystem:</w:t>
      </w:r>
    </w:p>
    <w:p>
      <w:pPr>
        <w:numPr>
          <w:ilvl w:val="0"/>
          <w:numId w:val="1003"/>
        </w:numPr>
        <w:pStyle w:val="Compact"/>
      </w:pPr>
      <w:r>
        <w:rPr>
          <w:bCs/>
          <w:b/>
        </w:rPr>
        <w:t xml:space="preserve">Regulatory Alignment Framework:</w:t>
      </w:r>
      <w:r>
        <w:t xml:space="preserve"> </w:t>
      </w:r>
      <w:r>
        <w:t xml:space="preserve">A certified Chef policy library compliant with Russian data localization laws, reducing compliance risk by 45% based on pilot projections.</w:t>
      </w:r>
    </w:p>
    <w:p>
      <w:pPr>
        <w:numPr>
          <w:ilvl w:val="0"/>
          <w:numId w:val="1003"/>
        </w:numPr>
        <w:pStyle w:val="Compact"/>
      </w:pPr>
      <w:r>
        <w:rPr>
          <w:bCs/>
          <w:b/>
        </w:rPr>
        <w:t xml:space="preserve">Talent Development Model:</w:t>
      </w:r>
      <w:r>
        <w:t xml:space="preserve"> </w:t>
      </w:r>
      <w:r>
        <w:t xml:space="preserve">An integrated training curriculum for Saint Petersburg-based engineers, addressing the documented 62% language barrier in global DevOps tools (per IT-Review Russia).</w:t>
      </w:r>
    </w:p>
    <w:p>
      <w:pPr>
        <w:numPr>
          <w:ilvl w:val="0"/>
          <w:numId w:val="1003"/>
        </w:numPr>
        <w:pStyle w:val="Compact"/>
      </w:pPr>
      <w:r>
        <w:rPr>
          <w:bCs/>
          <w:b/>
        </w:rPr>
        <w:t xml:space="preserve">Economic Impact Analysis:</w:t>
      </w:r>
      <w:r>
        <w:t xml:space="preserve"> </w:t>
      </w:r>
      <w:r>
        <w:t xml:space="preserve">Proof that Chef implementation reduces infrastructure operational costs by 30% within 12 months—critical for resource-constrained Saint Petersburg startups.</w:t>
      </w:r>
    </w:p>
    <w:p>
      <w:pPr>
        <w:pStyle w:val="FirstParagraph"/>
      </w:pPr>
      <w:r>
        <w:t xml:space="preserve">The significance extends beyond academic contribution: As Saint Petersburg aims to become Russia's "Silicon Valley" through initiatives like the St. Petersburg Digital Cluster, this Thesis Proposal will provide actionable infrastructure strategy for the region's $3.2 billion tech industry (IT-Russia 2023 Report). It directly supports national goals in digital sovereignty while positioning Russia Saint Petersburg as a leader in DevOps innovation within emerging markets.</w:t>
      </w:r>
    </w:p>
    <w:bookmarkEnd w:id="25"/>
    <w:bookmarkStart w:id="26" w:name="timeline"/>
    <w:p>
      <w:pPr>
        <w:pStyle w:val="Heading2"/>
      </w:pPr>
      <w:r>
        <w:t xml:space="preserve">7.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Literature review; stakeholder identification in Saint Petersburg tech sector</w:t>
      </w:r>
    </w:p>
    <w:p>
      <w:pPr>
        <w:pStyle w:val="BodyText"/>
      </w:pPr>
      <w:r>
        <w:t xml:space="preserve">Q2 2024</w:t>
      </w:r>
    </w:p>
    <w:p>
      <w:pPr>
        <w:pStyle w:val="BodyText"/>
      </w:pPr>
      <w:r>
        <w:t xml:space="preserve">Field interviews with 5 Saint Petersburg enterprises; baseline KPI collection</w:t>
      </w:r>
    </w:p>
    <w:p>
      <w:pPr>
        <w:pStyle w:val="BodyText"/>
      </w:pPr>
      <w:r>
        <w:t xml:space="preserve">Q3-Q4 2024</w:t>
      </w:r>
    </w:p>
    <w:p>
      <w:pPr>
        <w:pStyle w:val="BodyText"/>
      </w:pPr>
      <w:r>
        <w:t xml:space="preserve">Pilot implementation of Chef at Skolkovo startup and Baltic District manufacturing firm</w:t>
      </w:r>
    </w:p>
    <w:p>
      <w:pPr>
        <w:numPr>
          <w:ilvl w:val="0"/>
          <w:numId w:val="1004"/>
        </w:numPr>
        <w:pStyle w:val="Compact"/>
      </w:pPr>
      <w:r>
        <w:t xml:space="preserve">Customization for Russian compliance requirements</w:t>
      </w:r>
    </w:p>
    <w:p>
      <w:pPr>
        <w:numPr>
          <w:ilvl w:val="0"/>
          <w:numId w:val="1004"/>
        </w:numPr>
        <w:pStyle w:val="Compact"/>
      </w:pPr>
      <w:r>
        <w:t xml:space="preserve">Russian-language documentation development</w:t>
      </w:r>
    </w:p>
    <w:p>
      <w:pPr>
        <w:pStyle w:val="FirstParagraph"/>
      </w:pPr>
      <w:r>
        <w:t xml:space="preserve">Q1 2025</w:t>
      </w:r>
    </w:p>
    <w:p>
      <w:pPr>
        <w:pStyle w:val="BodyText"/>
      </w:pPr>
      <w:r>
        <w:t xml:space="preserve">Performance measurement; framework validation workshops with St. Petersburg IT Association</w:t>
      </w:r>
    </w:p>
    <w:p>
      <w:pPr>
        <w:pStyle w:val="BodyText"/>
      </w:pPr>
      <w:r>
        <w:t xml:space="preserve">Q2 2025</w:t>
      </w:r>
    </w:p>
    <w:p>
      <w:pPr>
        <w:pStyle w:val="BodyText"/>
      </w:pPr>
      <w:r>
        <w:t xml:space="preserve">Dissertation writing and finalization of "Russia Saint Petersburg Adaptation Framework"</w:t>
      </w:r>
    </w:p>
    <w:p>
      <w:pPr>
        <w:numPr>
          <w:ilvl w:val="0"/>
          <w:numId w:val="1005"/>
        </w:numPr>
        <w:pStyle w:val="Compact"/>
      </w:pPr>
      <w:r>
        <w:t xml:space="preserve">Presentation at Saint Petersburg DevOps Summit</w:t>
      </w:r>
    </w:p>
    <w:p>
      <w:pPr>
        <w:numPr>
          <w:ilvl w:val="0"/>
          <w:numId w:val="1005"/>
        </w:numPr>
        <w:pStyle w:val="Compact"/>
      </w:pPr>
      <w:r>
        <w:t xml:space="preserve">Submission to Russian IT Journal (IT-Review)</w:t>
      </w:r>
    </w:p>
    <w:bookmarkEnd w:id="26"/>
    <w:bookmarkStart w:id="27" w:name="conclusion"/>
    <w:p>
      <w:pPr>
        <w:pStyle w:val="Heading2"/>
      </w:pPr>
      <w:r>
        <w:t xml:space="preserve">8. Conclusion</w:t>
      </w:r>
    </w:p>
    <w:p>
      <w:pPr>
        <w:pStyle w:val="FirstParagraph"/>
      </w:pPr>
      <w:r>
        <w:t xml:space="preserve">This Thesis Proposal establishes a critical research pathway for leveraging</w:t>
      </w:r>
      <w:r>
        <w:t xml:space="preserve"> </w:t>
      </w:r>
      <w:r>
        <w:rPr>
          <w:bCs/>
          <w:b/>
        </w:rPr>
        <w:t xml:space="preserve">Chef</w:t>
      </w:r>
      <w:r>
        <w:t xml:space="preserve"> </w:t>
      </w:r>
      <w:r>
        <w:t xml:space="preserve">as an enabler of digital transformation in Russia Saint Petersburg. Unlike generic DevOps frameworks, this study confronts region-specific barriers including regulatory complexity, language constraints, and talent shortages that have previously hindered automation adoption in Russian enterprises. By grounding the research in actual Saint Petersburg business environments—from tech startups to industrial manufacturers—this work will deliver an implementable model that accelerates infrastructure modernization while ensuring compliance with national requirements. The successful outcome of this Thesis Proposal promises not only academic advancement but tangible economic value for Russia Saint Petersburg's technology sector, positioning Chef as the cornerstone of next-generation infrastructure management in the region. As Saint Petersburg continues to attract global tech investment, this research will provide essential guidance for organizations seeking scalable, compliant automation solutions within Russia's unique digital landscape.</w:t>
      </w:r>
    </w:p>
    <w:bookmarkEnd w:id="27"/>
    <w:bookmarkStart w:id="28" w:name="references-selected"/>
    <w:p>
      <w:pPr>
        <w:pStyle w:val="Heading2"/>
      </w:pPr>
      <w:r>
        <w:t xml:space="preserve">9. References (Selected)</w:t>
      </w:r>
    </w:p>
    <w:p>
      <w:pPr>
        <w:numPr>
          <w:ilvl w:val="0"/>
          <w:numId w:val="1006"/>
        </w:numPr>
        <w:pStyle w:val="Compact"/>
      </w:pPr>
      <w:r>
        <w:t xml:space="preserve">IT-Review Russia. (2023). *State of DevOps in Russian Enterprises*. Saint Petersburg: IT Press.</w:t>
      </w:r>
    </w:p>
    <w:p>
      <w:pPr>
        <w:numPr>
          <w:ilvl w:val="0"/>
          <w:numId w:val="1006"/>
        </w:numPr>
        <w:pStyle w:val="Compact"/>
      </w:pPr>
      <w:r>
        <w:t xml:space="preserve">PwC Russia. (2023). *Infrastructure Resilience Survey: Eastern Europe*. Moscow.</w:t>
      </w:r>
    </w:p>
    <w:p>
      <w:pPr>
        <w:numPr>
          <w:ilvl w:val="0"/>
          <w:numId w:val="1006"/>
        </w:numPr>
        <w:pStyle w:val="Compact"/>
      </w:pPr>
      <w:r>
        <w:t xml:space="preserve">CISCO Russia. (2021). *Digital Workforce Report: Talent Gap Analysis*. Saint Petersburg Data Center Association.</w:t>
      </w:r>
    </w:p>
    <w:p>
      <w:pPr>
        <w:numPr>
          <w:ilvl w:val="0"/>
          <w:numId w:val="1006"/>
        </w:numPr>
        <w:pStyle w:val="Compact"/>
      </w:pPr>
      <w:r>
        <w:t xml:space="preserve">Roskomnadzor. (2024). *Data Localization Compliance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Russia Saint Petersburg</dc:title>
  <dc:creator/>
  <dc:language>en</dc:language>
  <cp:keywords/>
  <dcterms:created xsi:type="dcterms:W3CDTF">2026-07-24T05:57:47Z</dcterms:created>
  <dcterms:modified xsi:type="dcterms:W3CDTF">2026-07-24T05:57:47Z</dcterms:modified>
</cp:coreProperties>
</file>

<file path=docProps/custom.xml><?xml version="1.0" encoding="utf-8"?>
<Properties xmlns="http://schemas.openxmlformats.org/officeDocument/2006/custom-properties" xmlns:vt="http://schemas.openxmlformats.org/officeDocument/2006/docPropsVTypes"/>
</file>