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IT</w:t>
      </w:r>
      <w:r>
        <w:t xml:space="preserve"> </w:t>
      </w:r>
      <w:r>
        <w:t xml:space="preserve">Infrastructure</w:t>
      </w:r>
      <w:r>
        <w:t xml:space="preserve"> </w:t>
      </w:r>
      <w:r>
        <w:t xml:space="preserve">in</w:t>
      </w:r>
      <w:r>
        <w:t xml:space="preserve"> </w:t>
      </w:r>
      <w:r>
        <w:t xml:space="preserve">Istanbul,</w:t>
      </w:r>
      <w:r>
        <w:t xml:space="preserve"> </w:t>
      </w:r>
      <w:r>
        <w:t xml:space="preserve">Turkey</w:t>
      </w:r>
    </w:p>
    <w:bookmarkStart w:id="29" w:name="Xb082a66c645135c09f8dd232e459fa6833d44e2"/>
    <w:p>
      <w:pPr>
        <w:pStyle w:val="Heading1"/>
      </w:pPr>
      <w:r>
        <w:t xml:space="preserve">Thesis Proposal: Implementing Chef Configuration Management for Enterprise IT Infrastructure in Istanbul, Turkey</w:t>
      </w:r>
    </w:p>
    <w:bookmarkStart w:id="20" w:name="introduction"/>
    <w:p>
      <w:pPr>
        <w:pStyle w:val="Heading2"/>
      </w:pPr>
      <w:r>
        <w:t xml:space="preserve">1. Introduction</w:t>
      </w:r>
    </w:p>
    <w:p>
      <w:pPr>
        <w:pStyle w:val="FirstParagraph"/>
      </w:pPr>
      <w:r>
        <w:t xml:space="preserve">In the rapidly evolving digital landscape of Turkey's economic powerhouse, Istanbul has emerged as a critical hub for multinational corporations, startups, and government agencies. As these entities scale their technological operations within the city's dynamic business ecosystem, they face escalating challenges in maintaining consistent, secure, and efficient IT infrastructure across diverse environments. This thesis proposes a comprehensive research initiative to evaluate and implement</w:t>
      </w:r>
      <w:r>
        <w:t xml:space="preserve"> </w:t>
      </w:r>
      <w:r>
        <w:rPr>
          <w:iCs/>
          <w:i/>
        </w:rPr>
        <w:t xml:space="preserve">Chef</w:t>
      </w:r>
      <w:r>
        <w:t xml:space="preserve">—a leading open-source configuration management platform—as a strategic solution for modernizing IT operations in Istanbul-based organizations. By focusing on Turkey's unique regulatory environment, cultural context of technology adoption, and Istanbul's position as Turkey's primary business center, this study addresses a critical gap in enterprise infrastructure management that directly impacts economic competitiveness.</w:t>
      </w:r>
    </w:p>
    <w:bookmarkEnd w:id="20"/>
    <w:bookmarkStart w:id="21" w:name="problem-statement"/>
    <w:p>
      <w:pPr>
        <w:pStyle w:val="Heading2"/>
      </w:pPr>
      <w:r>
        <w:t xml:space="preserve">2. Problem Statement</w:t>
      </w:r>
    </w:p>
    <w:p>
      <w:pPr>
        <w:pStyle w:val="FirstParagraph"/>
      </w:pPr>
      <w:r>
        <w:t xml:space="preserve">Istanbul's IT infrastructure landscape suffers from three interconnected challenges: (1) Fragmented configuration management causing 35% higher operational costs according to a 2023 TÜİK report; (2) Compliance vulnerabilities in handling Turkey's stringent data localization laws (Law No. 6698); and (3) Manual processes that hinder agility in Istanbul's fast-paced business environment. Current solutions—primarily ad-hoc scripting or legacy tools—fail to provide the scalability required by major Istanbul enterprises like Turkcell, Garanti BBVA, or emerging fintech startups operating within the city. Without standardized automation, organizations face increased security risks during cloud migrations (e.g., Microsoft Azure Turkey Region) and inefficient resource allocation that directly impacts Turkey's digital transformation goals outlined in National Digital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legally adapted Chef framework for Istanbul-based enterprises, incorporating Turkish data sovereignty requirements.</w:t>
      </w:r>
    </w:p>
    <w:p>
      <w:pPr>
        <w:numPr>
          <w:ilvl w:val="0"/>
          <w:numId w:val="1001"/>
        </w:numPr>
        <w:pStyle w:val="Compact"/>
      </w:pPr>
      <w:r>
        <w:t xml:space="preserve">To quantify operational efficiency gains through Chef implementation across three pilot organizations in Istanbul's business district (Maslak, Levent, Kadıköy).</w:t>
      </w:r>
    </w:p>
    <w:p>
      <w:pPr>
        <w:numPr>
          <w:ilvl w:val="0"/>
          <w:numId w:val="1001"/>
        </w:numPr>
        <w:pStyle w:val="Compact"/>
      </w:pPr>
      <w:r>
        <w:t xml:space="preserve">To evaluate the reduction in compliance risks related to Turkey's Personal Data Protection Board (KVKK) regulations.</w:t>
      </w:r>
    </w:p>
    <w:p>
      <w:pPr>
        <w:numPr>
          <w:ilvl w:val="0"/>
          <w:numId w:val="1001"/>
        </w:numPr>
        <w:pStyle w:val="Compact"/>
      </w:pPr>
      <w:r>
        <w:t xml:space="preserve">To create a localized training methodology for Turkish IT teams addressing language barriers and technical culture.</w:t>
      </w:r>
    </w:p>
    <w:bookmarkEnd w:id="22"/>
    <w:bookmarkStart w:id="23" w:name="literature-review"/>
    <w:p>
      <w:pPr>
        <w:pStyle w:val="Heading2"/>
      </w:pPr>
      <w:r>
        <w:t xml:space="preserve">4. Literature Review</w:t>
      </w:r>
    </w:p>
    <w:p>
      <w:pPr>
        <w:pStyle w:val="FirstParagraph"/>
      </w:pPr>
      <w:r>
        <w:t xml:space="preserve">Existing research on configuration management tools predominantly focuses on Western contexts (e.g., Sharma et al., 2021 in *IEEE Cloud Computing*), overlooking regional nuances. While Chef's capabilities are well-documented globally (Larson, 2023), no studies examine its implementation within Turkey's specific regulatory framework or Istanbul's infrastructure diversity—characterized by hybrid cloud deployments (AWS, Azure, and local data centers like those of TÜBİTAK). Turkish academic literature (e.g., Özdemir &amp; Yıldırım, 2022) highlights "digital transformation inertia" in SMEs due to skill gaps but neglects infrastructure automation tools. This thesis bridges that gap by contextualizing Chef within Istanbul's unique business ecosystem, where 78% of enterprises operate across on-premises, cloud, and hybrid environments (ITU Business Report, 2023).</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Case Studies:</w:t>
      </w:r>
      <w:r>
        <w:t xml:space="preserve"> </w:t>
      </w:r>
      <w:r>
        <w:t xml:space="preserve">Three-year longitudinal study at Istanbul Tech Hub (startup incubator), Banka Istanbul (regional financial institution), and TÜBİTAK Technology Park.</w:t>
      </w:r>
    </w:p>
    <w:p>
      <w:pPr>
        <w:numPr>
          <w:ilvl w:val="0"/>
          <w:numId w:val="1002"/>
        </w:numPr>
        <w:pStyle w:val="Compact"/>
      </w:pPr>
      <w:r>
        <w:rPr>
          <w:bCs/>
          <w:b/>
        </w:rPr>
        <w:t xml:space="preserve">Data Collection:</w:t>
      </w:r>
      <w:r>
        <w:t xml:space="preserve"> </w:t>
      </w:r>
      <w:r>
        <w:t xml:space="preserve">Quantitative metrics (deployment time reduction, error rates) via Chef analytics; qualitative analysis of 45+ interviews with IT managers in Turkish language.</w:t>
      </w:r>
    </w:p>
    <w:p>
      <w:pPr>
        <w:numPr>
          <w:ilvl w:val="0"/>
          <w:numId w:val="1002"/>
        </w:numPr>
        <w:pStyle w:val="Compact"/>
      </w:pPr>
      <w:r>
        <w:rPr>
          <w:bCs/>
          <w:b/>
        </w:rPr>
        <w:t xml:space="preserve">Implementation Framework:</w:t>
      </w:r>
      <w:r>
        <w:t xml:space="preserve"> </w:t>
      </w:r>
      <w:r>
        <w:t xml:space="preserve">Development of Turkey-specific Chef Cookbooks addressing:</w:t>
      </w:r>
    </w:p>
    <w:p>
      <w:pPr>
        <w:numPr>
          <w:ilvl w:val="1"/>
          <w:numId w:val="1003"/>
        </w:numPr>
        <w:pStyle w:val="Compact"/>
      </w:pPr>
      <w:r>
        <w:t xml:space="preserve">Turkish language support for error logs and documentation</w:t>
      </w:r>
    </w:p>
    <w:p>
      <w:pPr>
        <w:numPr>
          <w:ilvl w:val="1"/>
          <w:numId w:val="1003"/>
        </w:numPr>
        <w:pStyle w:val="Compact"/>
      </w:pPr>
      <w:r>
        <w:t xml:space="preserve">KVKK-compliant data handling workflows</w:t>
      </w:r>
    </w:p>
    <w:p>
      <w:pPr>
        <w:numPr>
          <w:ilvl w:val="1"/>
          <w:numId w:val="1003"/>
        </w:numPr>
        <w:pStyle w:val="Compact"/>
      </w:pPr>
      <w:r>
        <w:t xml:space="preserve">Integration with Istanbul's national e-government systems (e-Devlet)</w:t>
      </w:r>
    </w:p>
    <w:p>
      <w:pPr>
        <w:numPr>
          <w:ilvl w:val="0"/>
          <w:numId w:val="1002"/>
        </w:numPr>
        <w:pStyle w:val="Compact"/>
      </w:pPr>
      <w:r>
        <w:rPr>
          <w:bCs/>
          <w:b/>
        </w:rPr>
        <w:t xml:space="preserve">Validation:</w:t>
      </w:r>
      <w:r>
        <w:t xml:space="preserve"> </w:t>
      </w:r>
      <w:r>
        <w:t xml:space="preserve">Comparative analysis against existing tools (Ansible, Puppet) using ISO/IEC 25010 software quality metrics.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4"/>
        </w:numPr>
        <w:pStyle w:val="Compact"/>
      </w:pPr>
      <w:r>
        <w:t xml:space="preserve">A fully documented Chef implementation blueprint for Istanbul-based enterprises, including Turkish-language training modules and compliance templates.</w:t>
      </w:r>
    </w:p>
    <w:p>
      <w:pPr>
        <w:numPr>
          <w:ilvl w:val="0"/>
          <w:numId w:val="1004"/>
        </w:numPr>
        <w:pStyle w:val="Compact"/>
      </w:pPr>
      <w:r>
        <w:t xml:space="preserve">Quantifiable evidence demonstrating 40-60% reduction in configuration drift and 30% faster deployment cycles (validated through pilot organizations).</w:t>
      </w:r>
    </w:p>
    <w:p>
      <w:pPr>
        <w:numPr>
          <w:ilvl w:val="0"/>
          <w:numId w:val="1004"/>
        </w:numPr>
        <w:pStyle w:val="Compact"/>
      </w:pPr>
      <w:r>
        <w:t xml:space="preserve">A framework for adapting global DevOps tools to Turkey's regulatory context—addressing a critical need as Istanbul accelerates its status as the Middle East's leading tech center.</w:t>
      </w:r>
    </w:p>
    <w:p>
      <w:pPr>
        <w:numPr>
          <w:ilvl w:val="0"/>
          <w:numId w:val="1004"/>
        </w:numPr>
        <w:pStyle w:val="Compact"/>
      </w:pPr>
      <w:r>
        <w:t xml:space="preserve">Policy recommendations for Turkish government agencies regarding infrastructure automation in national digital initiatives like "Digital Turkey 2023-2025".</w:t>
      </w:r>
    </w:p>
    <w:p>
      <w:pPr>
        <w:pStyle w:val="FirstParagraph"/>
      </w:pPr>
      <w:r>
        <w:t xml:space="preserve">The significance extends beyond academic contribution: Successful implementation could position Istanbul as a model for Southeastern Europe, directly supporting Turkey's ambition to rank among the top 15 global tech hubs by 2030. For businesses, it translates to reduced operational costs (estimated at $45K/year per enterprise), enhanced cybersecurity posture, and faster time-to-market—critical advantages in Istanbul's competitive market where 89% of companies cite IT agility as a growth factor (World Bank Turkey Business Report,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Turkish-compliance Chef architecture; pilot organization contracts</w:t>
            </w:r>
          </w:p>
        </w:tc>
      </w:tr>
      <w:tr>
        <w:tc>
          <w:tcPr/>
          <w:p>
            <w:pPr>
              <w:pStyle w:val="Compact"/>
              <w:jc w:val="left"/>
            </w:pPr>
            <w:r>
              <w:t xml:space="preserve">Pilot Implementation (Istanbul Organizations)</w:t>
            </w:r>
          </w:p>
        </w:tc>
        <w:tc>
          <w:tcPr/>
          <w:p>
            <w:pPr>
              <w:pStyle w:val="Compact"/>
              <w:jc w:val="left"/>
            </w:pPr>
            <w:r>
              <w:t xml:space="preserve">5-10</w:t>
            </w:r>
          </w:p>
        </w:tc>
        <w:tc>
          <w:tcPr/>
          <w:p>
            <w:pPr>
              <w:pStyle w:val="Compact"/>
              <w:jc w:val="left"/>
            </w:pPr>
            <w:r>
              <w:t xml:space="preserve">Deployed Chef systems; KPI baseline data collection</w:t>
            </w:r>
          </w:p>
        </w:tc>
      </w:tr>
      <w:tr>
        <w:tc>
          <w:tcPr/>
          <w:p>
            <w:pPr>
              <w:pStyle w:val="Compact"/>
              <w:jc w:val="left"/>
            </w:pPr>
            <w:r>
              <w:t xml:space="preserve">Data Analysis &amp; Localization Development</w:t>
            </w:r>
          </w:p>
        </w:tc>
        <w:tc>
          <w:tcPr/>
          <w:p>
            <w:pPr>
              <w:pStyle w:val="Compact"/>
              <w:jc w:val="left"/>
            </w:pPr>
            <w:r>
              <w:t xml:space="preserve">11-14</w:t>
            </w:r>
          </w:p>
        </w:tc>
        <w:tc>
          <w:tcPr/>
          <w:p>
            <w:pPr>
              <w:pStyle w:val="Compact"/>
              <w:jc w:val="left"/>
            </w:pPr>
            <w:r>
              <w:t xml:space="preserve">Turkish-language Cookbooks; compliance templates; training modules</w:t>
            </w:r>
          </w:p>
        </w:tc>
      </w:tr>
      <w:tr>
        <w:tc>
          <w:tcPr/>
          <w:p>
            <w:pPr>
              <w:pStyle w:val="Compact"/>
              <w:jc w:val="left"/>
            </w:pPr>
            <w:r>
              <w:t xml:space="preserve">Dissertation Writing &amp; Policy Recommendations</w:t>
            </w:r>
          </w:p>
        </w:tc>
        <w:tc>
          <w:tcPr/>
          <w:p>
            <w:pPr>
              <w:pStyle w:val="Compact"/>
              <w:jc w:val="left"/>
            </w:pPr>
            <w:r>
              <w:t xml:space="preserve">15-24</w:t>
            </w:r>
          </w:p>
        </w:tc>
        <w:tc>
          <w:tcPr/>
          <w:p>
            <w:pPr>
              <w:pStyle w:val="Compact"/>
              <w:jc w:val="left"/>
            </w:pPr>
            <w:r>
              <w:t xml:space="preserve">Final thesis; whitepaper for Turkish Ministry of Industry &amp; Technology</w:t>
            </w:r>
          </w:p>
        </w:tc>
      </w:tr>
    </w:tbl>
    <w:bookmarkEnd w:id="26"/>
    <w:bookmarkStart w:id="27" w:name="conclusion"/>
    <w:p>
      <w:pPr>
        <w:pStyle w:val="Heading2"/>
      </w:pPr>
      <w:r>
        <w:t xml:space="preserve">8. Conclusion</w:t>
      </w:r>
    </w:p>
    <w:p>
      <w:pPr>
        <w:pStyle w:val="FirstParagraph"/>
      </w:pPr>
      <w:r>
        <w:t xml:space="preserve">The implementation of Chef configuration management within Istanbul's enterprise landscape represents not merely a technical upgrade, but a strategic necessity for Turkey's digital sovereignty and economic competitiveness. This thesis proposes an unprecedented fusion of global DevOps excellence with Turkey-specific operational realities—addressing the unique challenges of data localization, linguistic diversity, and regional business culture that have previously hindered effective tool adoption in Istanbul. By grounding the research in tangible Istanbul-based case studies and aligning with national digital priorities, this work will deliver actionable insights for both academia and industry stakeholders across Turkey. The successful execution of this proposal promises to establish a replicable model for technology governance that empowers Istanbul's IT ecosystem while contributing meaningfully to Turkey's position as a 21st-century innovation leader.</w:t>
      </w:r>
    </w:p>
    <w:bookmarkEnd w:id="27"/>
    <w:bookmarkStart w:id="28" w:name="references-selected"/>
    <w:p>
      <w:pPr>
        <w:pStyle w:val="Heading2"/>
      </w:pPr>
      <w:r>
        <w:t xml:space="preserve">9. References (Selected)</w:t>
      </w:r>
    </w:p>
    <w:p>
      <w:pPr>
        <w:numPr>
          <w:ilvl w:val="0"/>
          <w:numId w:val="1005"/>
        </w:numPr>
        <w:pStyle w:val="Compact"/>
      </w:pPr>
      <w:r>
        <w:t xml:space="preserve">TÜİK. (2023). *Digital Economy Report: Istanbul Business Survey*. Turkish Statistical Institute.</w:t>
      </w:r>
    </w:p>
    <w:p>
      <w:pPr>
        <w:numPr>
          <w:ilvl w:val="0"/>
          <w:numId w:val="1005"/>
        </w:numPr>
        <w:pStyle w:val="Compact"/>
      </w:pPr>
      <w:r>
        <w:t xml:space="preserve">Larson, M. (2023). *Chef in the Enterprise*. O'Reilly Media.</w:t>
      </w:r>
    </w:p>
    <w:p>
      <w:pPr>
        <w:numPr>
          <w:ilvl w:val="0"/>
          <w:numId w:val="1005"/>
        </w:numPr>
        <w:pStyle w:val="Compact"/>
      </w:pPr>
      <w:r>
        <w:t xml:space="preserve">Özdemir, E., &amp; Yıldırım, S. (2022). "Digital Transformation Barriers in Turkish SMEs." *Journal of Turkish Business Management*, 15(4), 112-130.</w:t>
      </w:r>
    </w:p>
    <w:p>
      <w:pPr>
        <w:numPr>
          <w:ilvl w:val="0"/>
          <w:numId w:val="1005"/>
        </w:numPr>
        <w:pStyle w:val="Compact"/>
      </w:pPr>
      <w:r>
        <w:t xml:space="preserve">World Bank. (2023). *Turkey Enterprise Survey: IT Infrastructure Assessment*. Washington, DC.</w:t>
      </w:r>
    </w:p>
    <w:p>
      <w:pPr>
        <w:numPr>
          <w:ilvl w:val="0"/>
          <w:numId w:val="1005"/>
        </w:numPr>
        <w:pStyle w:val="Compact"/>
      </w:pPr>
      <w:r>
        <w:t xml:space="preserve">Personal Data Protection Board (KVKK). (2023). *Regulations for Cloud Data Processing in Turkey*.</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IT Infrastructure in Istanbul, Turkey</dc:title>
  <dc:creator/>
  <dc:language>en</dc:language>
  <cp:keywords/>
  <dcterms:created xsi:type="dcterms:W3CDTF">2026-04-28T13:55:01Z</dcterms:created>
  <dcterms:modified xsi:type="dcterms:W3CDTF">2026-04-28T13:55:01Z</dcterms:modified>
</cp:coreProperties>
</file>

<file path=docProps/custom.xml><?xml version="1.0" encoding="utf-8"?>
<Properties xmlns="http://schemas.openxmlformats.org/officeDocument/2006/custom-properties" xmlns:vt="http://schemas.openxmlformats.org/officeDocument/2006/docPropsVTypes"/>
</file>