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bc4817a1dd49bb5a26d9d1b798a628bd6099b26"/>
    <w:p>
      <w:pPr>
        <w:pStyle w:val="Heading1"/>
      </w:pPr>
      <w:r>
        <w:t xml:space="preserve">Thesis Proposal: Implementing Chef for Infrastructure Automation in United Arab Emirates Abu Dhabi</w:t>
      </w:r>
    </w:p>
    <w:bookmarkStart w:id="20" w:name="introduction-and-background"/>
    <w:p>
      <w:pPr>
        <w:pStyle w:val="Heading2"/>
      </w:pPr>
      <w:r>
        <w:t xml:space="preserve">1. Introduction and Background</w:t>
      </w:r>
    </w:p>
    <w:p>
      <w:pPr>
        <w:pStyle w:val="FirstParagraph"/>
      </w:pPr>
      <w:r>
        <w:t xml:space="preserve">The rapid digital transformation of the United Arab Emirates, particularly within Abu Dhabi's strategic vision for sustainable economic diversification, demands robust and scalable IT infrastructure management solutions. As Abu Dhabi accelerates initiatives under its Vision 2030 framework—focusing on smart cities, government digitization (e.g., Abu Dhabi Government Cloud), and critical sector modernization—the need for efficient, secure, and reproducible infrastructure configuration has become paramount. Traditional manual server provisioning methods are increasingly inadequate for handling the scale and complexity of enterprise environments across Abu Dhabi's public sector (including departments like ADQ, Tawazun Economic Council) and private sector (e.g., major financial institutions in Abu Dhabi Global Market). This Thesis Proposal outlines a research initiative to evaluate and implement</w:t>
      </w:r>
      <w:r>
        <w:t xml:space="preserve"> </w:t>
      </w:r>
      <w:r>
        <w:rPr>
          <w:iCs/>
          <w:i/>
        </w:rPr>
        <w:t xml:space="preserve">Chef</w:t>
      </w:r>
      <w:r>
        <w:t xml:space="preserve">, an open-source infrastructure automation platform, as a solution tailored to the unique operational, regulatory, and cultural context of the United Arab Emirates Abu Dhabi. Chef’s ability to codify infrastructure as code (IaC) aligns with Abu Dhabi's emphasis on precision, compliance, and innovation—making it a critical focus for this study.</w:t>
      </w:r>
    </w:p>
    <w:bookmarkEnd w:id="20"/>
    <w:bookmarkStart w:id="21" w:name="problem-statement"/>
    <w:p>
      <w:pPr>
        <w:pStyle w:val="Heading2"/>
      </w:pPr>
      <w:r>
        <w:t xml:space="preserve">2. Problem Statement</w:t>
      </w:r>
    </w:p>
    <w:p>
      <w:pPr>
        <w:pStyle w:val="FirstParagraph"/>
      </w:pPr>
      <w:r>
        <w:t xml:space="preserve">Abu Dhabi’s digital ecosystem faces three interconnected challenges: (1) Inconsistent infrastructure deployment leading to security vulnerabilities and compliance gaps against UAE Federal Data Management Policies; (2) Excessive manual effort in server configuration, causing delays in critical project timelines (e.g., Abu Dhabi Health Services Company's digital health initiatives); and (3) Lack of standardized automation across government entities, resulting in fragmented IT operations. Current ad-hoc tools used by Abu Dhabi organizations fail to meet the scalability demands of initiatives like the</w:t>
      </w:r>
      <w:r>
        <w:t xml:space="preserve"> </w:t>
      </w:r>
      <w:r>
        <w:rPr>
          <w:iCs/>
          <w:i/>
        </w:rPr>
        <w:t xml:space="preserve">Abu Dhabi Smart City Program</w:t>
      </w:r>
      <w:r>
        <w:t xml:space="preserve">, which requires seamless orchestration across 10,000+ devices. This research directly addresses these gaps through Chef’s declarative automation framework, ensuring infrastructure configurations are version-controlled, auditable, and compliant with UAE regulatory standards.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Analyze Chef’s technical fit for Abu Dhabi’s IT landscape by mapping its capabilities against the UAE Government Cloud Security Framework (GCCSF) and Abu Dhabi Data Protection Law.</w:t>
      </w:r>
    </w:p>
    <w:p>
      <w:pPr>
        <w:numPr>
          <w:ilvl w:val="0"/>
          <w:numId w:val="1001"/>
        </w:numPr>
        <w:pStyle w:val="Compact"/>
      </w:pPr>
      <w:r>
        <w:rPr>
          <w:bCs/>
          <w:b/>
        </w:rPr>
        <w:t xml:space="preserve">Objective 2:</w:t>
      </w:r>
      <w:r>
        <w:t xml:space="preserve"> </w:t>
      </w:r>
      <w:r>
        <w:t xml:space="preserve">Design a customized Chef workflow integrating with existing Abu Dhabi systems (e.g., ADNOC’s enterprise infrastructure, Etisalat’s cloud services) while adhering to local data sovereignty requirements.</w:t>
      </w:r>
    </w:p>
    <w:p>
      <w:pPr>
        <w:numPr>
          <w:ilvl w:val="0"/>
          <w:numId w:val="1001"/>
        </w:numPr>
        <w:pStyle w:val="Compact"/>
      </w:pPr>
      <w:r>
        <w:rPr>
          <w:bCs/>
          <w:b/>
        </w:rPr>
        <w:t xml:space="preserve">Objective 3:</w:t>
      </w:r>
      <w:r>
        <w:t xml:space="preserve"> </w:t>
      </w:r>
      <w:r>
        <w:t xml:space="preserve">Quantify operational efficiency gains through pilot implementation in a selected Abu Dhabi government department (e.g., Department of Municipalities and Transport), measuring reduction in deployment time, configuration drift, and security incident rates.</w:t>
      </w:r>
    </w:p>
    <w:bookmarkEnd w:id="22"/>
    <w:bookmarkStart w:id="23" w:name="literature-review"/>
    <w:p>
      <w:pPr>
        <w:pStyle w:val="Heading2"/>
      </w:pPr>
      <w:r>
        <w:t xml:space="preserve">4. Literature Review</w:t>
      </w:r>
    </w:p>
    <w:p>
      <w:pPr>
        <w:pStyle w:val="FirstParagraph"/>
      </w:pPr>
      <w:r>
        <w:t xml:space="preserve">Existing studies on infrastructure automation (e.g., Serrano et al., 2021) highlight Chef’s superiority in complex environments but lack region-specific adaptations for Middle Eastern regulatory contexts. Prior research by Al-Sarayreh (2019) identified cultural resistance to IaC in GCC enterprises due to legacy system dependencies, a barrier this thesis explicitly addresses. In contrast, global implementations (e.g., Shopify’s Chef adoption) demonstrate 60% faster deployments but ignore UAE-specific factors like Arabic language support requirements and Ramadan-related operational cycles. This proposal bridges this gap by contextualizing Chef for Abu Dhabi through collaboration with the</w:t>
      </w:r>
      <w:r>
        <w:t xml:space="preserve"> </w:t>
      </w:r>
      <w:r>
        <w:rPr>
          <w:iCs/>
          <w:i/>
        </w:rPr>
        <w:t xml:space="preserve">Abu Dhabi Systems and Information Centre (ADSIC)</w:t>
      </w:r>
      <w:r>
        <w:t xml:space="preserve">, leveraging their expertise in national IT standards.</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Contextual Analysis:</w:t>
      </w:r>
      <w:r>
        <w:t xml:space="preserve"> </w:t>
      </w:r>
      <w:r>
        <w:t xml:space="preserve">Collaborate with Abu Dhabi government entities to document current infrastructure processes, compliance requirements, and pain points via structured interviews (n=15 stakeholders) and workflow mapping.</w:t>
      </w:r>
    </w:p>
    <w:p>
      <w:pPr>
        <w:numPr>
          <w:ilvl w:val="0"/>
          <w:numId w:val="1002"/>
        </w:numPr>
        <w:pStyle w:val="Compact"/>
      </w:pPr>
      <w:r>
        <w:rPr>
          <w:bCs/>
          <w:b/>
        </w:rPr>
        <w:t xml:space="preserve">Chef Implementation Design:</w:t>
      </w:r>
      <w:r>
        <w:t xml:space="preserve"> </w:t>
      </w:r>
      <w:r>
        <w:t xml:space="preserve">Develop a customized Chef ecosystem including:</w:t>
      </w:r>
    </w:p>
    <w:p>
      <w:pPr>
        <w:numPr>
          <w:ilvl w:val="1"/>
          <w:numId w:val="1003"/>
        </w:numPr>
        <w:pStyle w:val="Compact"/>
      </w:pPr>
      <w:r>
        <w:t xml:space="preserve">Policies compliant with UAE’s National Cybersecurity Strategy</w:t>
      </w:r>
    </w:p>
    <w:p>
      <w:pPr>
        <w:numPr>
          <w:ilvl w:val="1"/>
          <w:numId w:val="1003"/>
        </w:numPr>
        <w:pStyle w:val="Compact"/>
      </w:pPr>
      <w:r>
        <w:t xml:space="preserve">Arabic-language configuration templates for localized user experience</w:t>
      </w:r>
    </w:p>
    <w:p>
      <w:pPr>
        <w:numPr>
          <w:ilvl w:val="1"/>
          <w:numId w:val="1003"/>
        </w:numPr>
        <w:pStyle w:val="Compact"/>
      </w:pPr>
      <w:r>
        <w:t xml:space="preserve">Integration points with Abu Dhabi’s Unified Identity System (U2F)</w:t>
      </w:r>
    </w:p>
    <w:p>
      <w:pPr>
        <w:numPr>
          <w:ilvl w:val="0"/>
          <w:numId w:val="1002"/>
        </w:numPr>
        <w:pStyle w:val="Compact"/>
      </w:pPr>
      <w:r>
        <w:rPr>
          <w:bCs/>
          <w:b/>
        </w:rPr>
        <w:t xml:space="preserve">Pilot Evaluation:</w:t>
      </w:r>
      <w:r>
        <w:t xml:space="preserve"> </w:t>
      </w:r>
      <w:r>
        <w:t xml:space="preserve">Deploy the solution in a 6-month pilot at Abu Dhabi Municipality. Metrics include:</w:t>
      </w:r>
    </w:p>
    <w:p>
      <w:pPr>
        <w:numPr>
          <w:ilvl w:val="1"/>
          <w:numId w:val="1004"/>
        </w:numPr>
        <w:pStyle w:val="Compact"/>
      </w:pPr>
      <w:r>
        <w:t xml:space="preserve">Reduction in server provisioning time (target: 70%)</w:t>
      </w:r>
    </w:p>
    <w:p>
      <w:pPr>
        <w:numPr>
          <w:ilvl w:val="1"/>
          <w:numId w:val="1004"/>
        </w:numPr>
        <w:pStyle w:val="Compact"/>
      </w:pPr>
      <w:r>
        <w:t xml:space="preserve">Decrease in configuration-related security incidents (target: 50%)</w:t>
      </w:r>
    </w:p>
    <w:p>
      <w:pPr>
        <w:numPr>
          <w:ilvl w:val="1"/>
          <w:numId w:val="1004"/>
        </w:numPr>
        <w:pStyle w:val="Compact"/>
      </w:pPr>
      <w:r>
        <w:t xml:space="preserve">User satisfaction scores via post-implementation surveys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validated Chef implementation blueprint for UAE Abu Dhabi public-private partnerships, including compliance checklists for federal regulations.</w:t>
      </w:r>
    </w:p>
    <w:p>
      <w:pPr>
        <w:numPr>
          <w:ilvl w:val="0"/>
          <w:numId w:val="1005"/>
        </w:numPr>
        <w:pStyle w:val="Compact"/>
      </w:pPr>
      <w:r>
        <w:t xml:space="preserve">Quantifiable evidence of ROI through reduced operational costs (estimated 35% lower infrastructure management expenses annually).</w:t>
      </w:r>
    </w:p>
    <w:p>
      <w:pPr>
        <w:numPr>
          <w:ilvl w:val="0"/>
          <w:numId w:val="1005"/>
        </w:numPr>
        <w:pStyle w:val="Compact"/>
      </w:pPr>
      <w:r>
        <w:t xml:space="preserve">A framework to address cultural adoption barriers—such as developing training modules in Arabic and aligning with UAE’s 'Digital Government' ethos.</w:t>
      </w:r>
    </w:p>
    <w:p>
      <w:pPr>
        <w:pStyle w:val="FirstParagraph"/>
      </w:pPr>
      <w:r>
        <w:t xml:space="preserve">The significance extends beyond Abu Dhabi: As the United Arab Emirates positions itself as a global tech hub (e.g., Dubai's AI Strategy), this Thesis Proposal provides a replicable model for other Gulf Cooperation Council nations seeking secure, scalable infrastructure automation. Crucially, it ensures Chef’s implementation does not compromise national data sovereignty—a non-negotiable requirement for Abu Dhabi’s strategic vision.</w:t>
      </w:r>
    </w:p>
    <w:bookmarkEnd w:id="25"/>
    <w:bookmarkStart w:id="26" w:name="timeline-and-resources"/>
    <w:p>
      <w:pPr>
        <w:pStyle w:val="Heading2"/>
      </w:pPr>
      <w:r>
        <w:t xml:space="preserve">7. Timeline and Resources</w:t>
      </w:r>
    </w:p>
    <w:p>
      <w:pPr>
        <w:pStyle w:val="FirstParagraph"/>
      </w:pPr>
      <w:r>
        <w:t xml:space="preserve">Conducted over 18 months:</w:t>
      </w:r>
    </w:p>
    <w:p>
      <w:pPr>
        <w:numPr>
          <w:ilvl w:val="0"/>
          <w:numId w:val="1006"/>
        </w:numPr>
        <w:pStyle w:val="Compact"/>
      </w:pPr>
      <w:r>
        <w:rPr>
          <w:bCs/>
          <w:b/>
        </w:rPr>
        <w:t xml:space="preserve">Months 1-4:</w:t>
      </w:r>
      <w:r>
        <w:t xml:space="preserve"> </w:t>
      </w:r>
      <w:r>
        <w:t xml:space="preserve">Stakeholder engagement with ADSIC, UAE Ministry of Digital Economy &amp; Artificial Intelligence (MoDEAI), and Abu Dhabi-based enterprises.</w:t>
      </w:r>
    </w:p>
    <w:p>
      <w:pPr>
        <w:numPr>
          <w:ilvl w:val="0"/>
          <w:numId w:val="1006"/>
        </w:numPr>
        <w:pStyle w:val="Compact"/>
      </w:pPr>
      <w:r>
        <w:rPr>
          <w:bCs/>
          <w:b/>
        </w:rPr>
        <w:t xml:space="preserve">Months 5-9:</w:t>
      </w:r>
      <w:r>
        <w:t xml:space="preserve"> </w:t>
      </w:r>
      <w:r>
        <w:t xml:space="preserve">Chef architecture design, policy adaptation, and pilot department selection.</w:t>
      </w:r>
    </w:p>
    <w:p>
      <w:pPr>
        <w:numPr>
          <w:ilvl w:val="0"/>
          <w:numId w:val="1006"/>
        </w:numPr>
        <w:pStyle w:val="Compact"/>
      </w:pPr>
      <w:r>
        <w:rPr>
          <w:bCs/>
          <w:b/>
        </w:rPr>
        <w:t xml:space="preserve">Months 10-16:</w:t>
      </w:r>
      <w:r>
        <w:t xml:space="preserve"> </w:t>
      </w:r>
      <w:r>
        <w:t xml:space="preserve">Pilot deployment, data collection, and iterative refinement.</w:t>
      </w:r>
    </w:p>
    <w:p>
      <w:pPr>
        <w:numPr>
          <w:ilvl w:val="0"/>
          <w:numId w:val="1006"/>
        </w:numPr>
        <w:pStyle w:val="Compact"/>
      </w:pPr>
      <w:r>
        <w:rPr>
          <w:bCs/>
          <w:b/>
        </w:rPr>
        <w:t xml:space="preserve">Months 17-18:</w:t>
      </w:r>
      <w:r>
        <w:t xml:space="preserve"> </w:t>
      </w:r>
      <w:r>
        <w:t xml:space="preserve">Thesis writing, validation with UAE regulatory bodies (e.g., Telecommunications Regulatory Authority), and final recommendations.</w:t>
      </w:r>
    </w:p>
    <w:p>
      <w:pPr>
        <w:pStyle w:val="FirstParagraph"/>
      </w:pPr>
      <w:r>
        <w:t xml:space="preserve">Resources required include access to Abu Dhabi government test environments (secured via MoDEAI partnership), Chef Enterprise license for research use, and collaboration with UAE-based DevOps specialists at companies like</w:t>
      </w:r>
      <w:r>
        <w:t xml:space="preserve"> </w:t>
      </w:r>
      <w:r>
        <w:rPr>
          <w:iCs/>
          <w:i/>
        </w:rPr>
        <w:t xml:space="preserve">Etihad Airways IT</w:t>
      </w:r>
      <w:r>
        <w:t xml:space="preserve">.</w:t>
      </w:r>
    </w:p>
    <w:bookmarkEnd w:id="26"/>
    <w:bookmarkStart w:id="27" w:name="conclusion"/>
    <w:p>
      <w:pPr>
        <w:pStyle w:val="Heading2"/>
      </w:pPr>
      <w:r>
        <w:t xml:space="preserve">8. Conclusion</w:t>
      </w:r>
    </w:p>
    <w:p>
      <w:pPr>
        <w:pStyle w:val="FirstParagraph"/>
      </w:pPr>
      <w:r>
        <w:t xml:space="preserve">The strategic adoption of Chef in the United Arab Emirates Abu Dhabi context represents a pivotal step toward achieving operational excellence in a digitally evolving economy. Unlike generic automation tools, this Thesis Proposal centers on cultural and regulatory alignment—ensuring Chef becomes an enabler, not a disruptor, within Abu Dhabi’s unique IT ecosystem. By embedding compliance into infrastructure code from the outset and addressing local adoption challenges head-on, this research promises to deliver not only technical solutions but also a roadmap for sustainable digital governance across the Emirates. The successful implementation of Chef in Abu Dhabi could position the emirate as a benchmark for smart infrastructure management in emerging economies, directly contributing to national objectives like Abu Dhabi’s</w:t>
      </w:r>
      <w:r>
        <w:t xml:space="preserve"> </w:t>
      </w:r>
      <w:r>
        <w:rPr>
          <w:iCs/>
          <w:i/>
        </w:rPr>
        <w:t xml:space="preserve">Smart City Initiative</w:t>
      </w:r>
      <w:r>
        <w:t xml:space="preserve"> </w:t>
      </w:r>
      <w:r>
        <w:t xml:space="preserve">and UAE Vision 2050. This Thesis Proposal thus asserts that infrastructure automation must be both globally sophisticated and locally intelligent—a principle that Chef, when properly contextualized for the United Arab Emirates Abu Dhabi environment, can uniquely deliver.</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United Arab Emirates Abu Dhabi</dc:title>
  <dc:creator/>
  <dc:language>en</dc:language>
  <cp:keywords/>
  <dcterms:created xsi:type="dcterms:W3CDTF">2025-12-12T07:21:28Z</dcterms:created>
  <dcterms:modified xsi:type="dcterms:W3CDTF">2025-12-12T07:21:28Z</dcterms:modified>
</cp:coreProperties>
</file>

<file path=docProps/custom.xml><?xml version="1.0" encoding="utf-8"?>
<Properties xmlns="http://schemas.openxmlformats.org/officeDocument/2006/custom-properties" xmlns:vt="http://schemas.openxmlformats.org/officeDocument/2006/docPropsVTypes"/>
</file>