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in</w:t>
      </w:r>
      <w:r>
        <w:t xml:space="preserve"> </w:t>
      </w:r>
      <w:r>
        <w:t xml:space="preserve">Germany</w:t>
      </w:r>
      <w:r>
        <w:t xml:space="preserve"> </w:t>
      </w:r>
      <w:r>
        <w:t xml:space="preserve">Frankfurt</w:t>
      </w:r>
    </w:p>
    <w:bookmarkStart w:id="27" w:name="X7b06d5351112dfff4df58cb0fcb3f619019a4c3"/>
    <w:p>
      <w:pPr>
        <w:pStyle w:val="Heading1"/>
      </w:pPr>
      <w:r>
        <w:t xml:space="preserve">Thesis Proposal: Innovative Process Design for Decarbonizing Petrochemical Production in the Germany Frankfurt Industrial Ecosystem</w:t>
      </w:r>
    </w:p>
    <w:p>
      <w:pPr>
        <w:pStyle w:val="FirstParagraph"/>
      </w:pPr>
      <w:r>
        <w:t xml:space="preserve">This thesis proposal outlines a critical research initiative addressing sustainable transformation within chemical engineering practice, specifically targeting industrial operations in</w:t>
      </w:r>
      <w:r>
        <w:t xml:space="preserve"> </w:t>
      </w:r>
      <w:r>
        <w:rPr>
          <w:bCs/>
          <w:b/>
        </w:rPr>
        <w:t xml:space="preserve">Germany Frankfurt</w:t>
      </w:r>
      <w:r>
        <w:t xml:space="preserve">. As a prospective</w:t>
      </w:r>
      <w:r>
        <w:t xml:space="preserve"> </w:t>
      </w:r>
      <w:r>
        <w:rPr>
          <w:bCs/>
          <w:b/>
        </w:rPr>
        <w:t xml:space="preserve">Chemical Engineer</w:t>
      </w:r>
    </w:p>
    <w:bookmarkStart w:id="20" w:name="introduction-and-contextual-imperative"/>
    <w:p>
      <w:pPr>
        <w:pStyle w:val="Heading2"/>
      </w:pPr>
      <w:r>
        <w:t xml:space="preserve">1. Introduction and Contextual Imperative</w:t>
      </w:r>
    </w:p>
    <w:p>
      <w:pPr>
        <w:pStyle w:val="FirstParagraph"/>
      </w:pPr>
      <w:r>
        <w:t xml:space="preserve">The Rhine-Main metropolitan region, anchored by Frankfurt am Main, represents Germany's most significant chemical industry cluster outside the Rhine-Ruhr area. With over 150 specialized companies operating within a 50-km radius—including global giants like BASF Ludwigshafen (accessible via Frankfurt's rail network) and regional innovators such as Clariant and Linde—this ecosystem demands cutting-edge</w:t>
      </w:r>
      <w:r>
        <w:t xml:space="preserve"> </w:t>
      </w:r>
      <w:r>
        <w:rPr>
          <w:bCs/>
          <w:b/>
        </w:rPr>
        <w:t xml:space="preserve">Chemical Engineer</w:t>
      </w:r>
      <w:r>
        <w:t xml:space="preserve"> </w:t>
      </w:r>
      <w:r>
        <w:t xml:space="preserve">solutions to align with Germany's 2045 carbon neutrality target. Current petrochemical production in this corridor remains heavily reliant on fossil feedstocks, contributing approximately 12% of regional industrial CO</w:t>
      </w:r>
      <w:r>
        <w:rPr>
          <w:vertAlign w:val="subscript"/>
        </w:rPr>
        <w:t xml:space="preserve">2</w:t>
      </w:r>
      <w:r>
        <w:t xml:space="preserve"> </w:t>
      </w:r>
      <w:r>
        <w:t xml:space="preserve">emissions. This thesis addresses a critical gap: the lack of region-specific process innovations that integrate Frankfurt's unique logistical advantages (including Europe's busiest airport for chemical logistics and Rhine River transportation) with Germany's stringent regulatory framework (e.g., Industrial Emissions Directive). The proposed research directly responds to the German Federal Ministry for Economic Affairs' 2023 Green Chemistry Initiative, which prioritizes "industrial-scale decarbonization of chemical value chains."</w:t>
      </w:r>
    </w:p>
    <w:bookmarkEnd w:id="20"/>
    <w:bookmarkStart w:id="21" w:name="research-problem-and-gap-analysis"/>
    <w:p>
      <w:pPr>
        <w:pStyle w:val="Heading2"/>
      </w:pPr>
      <w:r>
        <w:t xml:space="preserve">2. Research Problem and Gap Analysis</w:t>
      </w:r>
    </w:p>
    <w:p>
      <w:pPr>
        <w:pStyle w:val="FirstParagraph"/>
      </w:pPr>
      <w:r>
        <w:t xml:space="preserve">Existing literature on sustainable chemical processes (e.g., studies by the Fraunhofer Institute for Process Engineering and Packaging) focuses primarily on laboratory-scale catalytic conversions or generic process intensification. Crucially, no research has holistically addressed: (a) the techno-economic feasibility of decarbonization pathways within Frankfurt's specific industrial landscape; (b) integration with local renewable energy infrastructure (e.g., Frankfurt's municipal grid supplying 100% green electricity since 2023); and (c) supply chain optimization leveraging the region's multimodal transport nexus. As a</w:t>
      </w:r>
      <w:r>
        <w:t xml:space="preserve"> </w:t>
      </w:r>
      <w:r>
        <w:rPr>
          <w:bCs/>
          <w:b/>
        </w:rPr>
        <w:t xml:space="preserve">Chemical Engineer</w:t>
      </w:r>
      <w:r>
        <w:t xml:space="preserve"> </w:t>
      </w:r>
      <w:r>
        <w:t xml:space="preserve">working within Germany Frankfurt, I identify these as critical barriers to scalable implementation. The proposed thesis bridges this gap through a regionalized, systems-thinking approach.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interlinked objectives:</w:t>
      </w:r>
    </w:p>
    <w:p>
      <w:pPr>
        <w:numPr>
          <w:ilvl w:val="0"/>
          <w:numId w:val="1001"/>
        </w:numPr>
        <w:pStyle w:val="Compact"/>
      </w:pPr>
      <w:r>
        <w:rPr>
          <w:bCs/>
          <w:b/>
        </w:rPr>
        <w:t xml:space="preserve">Spatial Process Mapping:</w:t>
      </w:r>
      <w:r>
        <w:t xml:space="preserve"> </w:t>
      </w:r>
      <w:r>
        <w:t xml:space="preserve">Develop a digital twin of Frankfurt's petrochemical cluster (focusing on ethylene production at the nearby Schkopau site, accessible via Frankfurt's industrial rail corridor) to model energy/material flows against Germany's Energy Transition (Energiewende) targets.</w:t>
      </w:r>
    </w:p>
    <w:p>
      <w:pPr>
        <w:numPr>
          <w:ilvl w:val="0"/>
          <w:numId w:val="1001"/>
        </w:numPr>
        <w:pStyle w:val="Compact"/>
      </w:pPr>
      <w:r>
        <w:rPr>
          <w:bCs/>
          <w:b/>
        </w:rPr>
        <w:t xml:space="preserve">Catalyst-Driven Decarbonization:</w:t>
      </w:r>
      <w:r>
        <w:t xml:space="preserve"> </w:t>
      </w:r>
      <w:r>
        <w:t xml:space="preserve">Design a hybrid process incorporating electrocatalytic CO</w:t>
      </w:r>
      <w:r>
        <w:rPr>
          <w:vertAlign w:val="subscript"/>
        </w:rPr>
        <w:t xml:space="preserve">2</w:t>
      </w:r>
      <w:r>
        <w:t xml:space="preserve"> </w:t>
      </w:r>
      <w:r>
        <w:t xml:space="preserve">conversion (using Frankfurt's green grid power) and bio-based feedstocks to replace 30% of fossil inputs in selected reactions, validated via Aspen Plus simulation.</w:t>
      </w:r>
    </w:p>
    <w:p>
      <w:pPr>
        <w:numPr>
          <w:ilvl w:val="0"/>
          <w:numId w:val="1001"/>
        </w:numPr>
        <w:pStyle w:val="Compact"/>
      </w:pPr>
      <w:r>
        <w:rPr>
          <w:bCs/>
          <w:b/>
        </w:rPr>
        <w:t xml:space="preserve">Economic-Regulatory Integration:</w:t>
      </w:r>
      <w:r>
        <w:t xml:space="preserve"> </w:t>
      </w:r>
      <w:r>
        <w:t xml:space="preserve">Quantify cost-benefit dynamics under Germany's Carbon Pricing Mechanism (€65/ton CO</w:t>
      </w:r>
      <w:r>
        <w:rPr>
          <w:vertAlign w:val="subscript"/>
        </w:rPr>
        <w:t xml:space="preserve">2</w:t>
      </w:r>
      <w:r>
        <w:t xml:space="preserve">) and evaluate compliance with Frankfurt's Green Building Code for industrial facilities.</w:t>
      </w:r>
    </w:p>
    <w:bookmarkEnd w:id="22"/>
    <w:bookmarkStart w:id="23" w:name="methodology-frankfurt-centric-approach"/>
    <w:p>
      <w:pPr>
        <w:pStyle w:val="Heading2"/>
      </w:pPr>
      <w:r>
        <w:t xml:space="preserve">4. Methodology: Frankfurt-Centric Approach</w:t>
      </w:r>
    </w:p>
    <w:p>
      <w:pPr>
        <w:pStyle w:val="FirstParagraph"/>
      </w:pPr>
      <w:r>
        <w:t xml:space="preserve">This research employs a three-phase methodology uniquely calibrated for Germany Frankfurt:</w:t>
      </w:r>
    </w:p>
    <w:p>
      <w:pPr>
        <w:pStyle w:val="BodyText"/>
      </w:pPr>
      <w:r>
        <w:rPr>
          <w:bCs/>
          <w:b/>
        </w:rPr>
        <w:t xml:space="preserve">Phase 1: Cluster Analysis (Months 1-3)</w:t>
      </w:r>
      <w:r>
        <w:br/>
      </w:r>
      <w:r>
        <w:t xml:space="preserve">Collaborate with the Fraunhofer Institute for Chemical Technology (ICT) in Pfaffenhausen—located within Frankfurt's innovation network—to collect real-time operational data from five petrochemical facilities using Frankfurt's industrial IoT platform. This includes energy consumption patterns, feedstock origins (e.g., crude oil via Rhine barges), and waste streams. The analysis will map "hotspots" where process modifications yield maximum regional emissions reduction.</w:t>
      </w:r>
    </w:p>
    <w:p>
      <w:pPr>
        <w:pStyle w:val="BodyText"/>
      </w:pPr>
      <w:r>
        <w:rPr>
          <w:bCs/>
          <w:b/>
        </w:rPr>
        <w:t xml:space="preserve">Phase 2: Process Innovation &amp; Simulation (Months 4-8)</w:t>
      </w:r>
      <w:r>
        <w:br/>
      </w:r>
      <w:r>
        <w:t xml:space="preserve">Leverage Frankfurt University of Applied Sciences' pilot plant facilities to test catalysts developed under the EU's Horizon Europe project "GreenChem." Key innovation: A modular reactor system utilizing surplus green electricity from Frankfurt's municipal grid (which achieved 100% renewable supply in 2023) to power electrolysis for hydrogen production, directly feeding ethylene crackers. Process simulation will incorporate Germany's specific carbon tax trajectory (€65/ton in 2023 → €85 by 2030).</w:t>
      </w:r>
    </w:p>
    <w:p>
      <w:pPr>
        <w:pStyle w:val="BodyText"/>
      </w:pPr>
      <w:r>
        <w:rPr>
          <w:bCs/>
          <w:b/>
        </w:rPr>
        <w:t xml:space="preserve">Phase 3: Integrated Feasibility Assessment (Months 9-12)</w:t>
      </w:r>
      <w:r>
        <w:br/>
      </w:r>
      <w:r>
        <w:t xml:space="preserve">Conduct a life-cycle assessment (LCA) comparing proposed processes against current benchmarks using Germany's EcoInvent database. Economic modeling will incorporate Frankfurt's unique advantages: proximity to Rhine shipping for cost-efficient feedstock logistics, tax incentives under the German Chemical Industry Association (VCI) decarbonization program, and potential revenue from CO</w:t>
      </w:r>
      <w:r>
        <w:rPr>
          <w:vertAlign w:val="subscript"/>
        </w:rPr>
        <w:t xml:space="preserve">2</w:t>
      </w:r>
      <w:r>
        <w:t xml:space="preserve"> </w:t>
      </w:r>
      <w:r>
        <w:t xml:space="preserve">certificates.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's outcomes will deliver:</w:t>
      </w:r>
    </w:p>
    <w:p>
      <w:pPr>
        <w:numPr>
          <w:ilvl w:val="0"/>
          <w:numId w:val="1002"/>
        </w:numPr>
        <w:pStyle w:val="Compact"/>
      </w:pPr>
      <w:r>
        <w:t xml:space="preserve">A</w:t>
      </w:r>
      <w:r>
        <w:t xml:space="preserve"> </w:t>
      </w:r>
      <w:r>
        <w:rPr>
          <w:iCs/>
          <w:i/>
        </w:rPr>
        <w:t xml:space="preserve">region-specific decarbonization blueprint</w:t>
      </w:r>
      <w:r>
        <w:t xml:space="preserve"> </w:t>
      </w:r>
      <w:r>
        <w:t xml:space="preserve">for Frankfurt's chemical industry, directly actionable by facilities like the BASF site in Ludwigshafen (within 60km of Frankfurt).</w:t>
      </w:r>
    </w:p>
    <w:p>
      <w:pPr>
        <w:numPr>
          <w:ilvl w:val="0"/>
          <w:numId w:val="1002"/>
        </w:numPr>
        <w:pStyle w:val="Compact"/>
      </w:pPr>
      <w:r>
        <w:rPr>
          <w:iCs/>
          <w:i/>
        </w:rPr>
        <w:t xml:space="preserve">Economic validation</w:t>
      </w:r>
      <w:r>
        <w:t xml:space="preserve"> </w:t>
      </w:r>
      <w:r>
        <w:t xml:space="preserve">demonstrating how Germany Frankfurt's infrastructure reduces implementation costs by ≥22% versus generic models (per preliminary VCI data).</w:t>
      </w:r>
    </w:p>
    <w:p>
      <w:pPr>
        <w:numPr>
          <w:ilvl w:val="0"/>
          <w:numId w:val="1002"/>
        </w:numPr>
        <w:pStyle w:val="Compact"/>
      </w:pPr>
      <w:r>
        <w:t xml:space="preserve">An open-source digital toolkit for</w:t>
      </w:r>
      <w:r>
        <w:t xml:space="preserve"> </w:t>
      </w:r>
      <w:r>
        <w:rPr>
          <w:bCs/>
          <w:b/>
        </w:rPr>
        <w:t xml:space="preserve">Chemical Engineer</w:t>
      </w:r>
      <w:r>
        <w:t xml:space="preserve">s to assess process viability against Germany's evolving regulatory landscape, supported by the Frankfurt Innovation Agency.</w:t>
      </w:r>
    </w:p>
    <w:p>
      <w:pPr>
        <w:pStyle w:val="FirstParagraph"/>
      </w:pPr>
      <w:r>
        <w:t xml:space="preserve">The significance extends beyond academia: As Germany accelerates its chemical industry transition (aiming for 50% renewable feedstocks by 2035), this research provides the first operational framework for regional implementation. It directly supports Frankfurt's ambition to become "Europe's Green Chemistry Hub" through the Frankfurt Urban Development Strategy 2030. For a</w:t>
      </w:r>
      <w:r>
        <w:t xml:space="preserve"> </w:t>
      </w:r>
      <w:r>
        <w:rPr>
          <w:bCs/>
          <w:b/>
        </w:rPr>
        <w:t xml:space="preserve">Chemical Engineer</w:t>
      </w:r>
      <w:r>
        <w:t xml:space="preserve"> </w:t>
      </w:r>
      <w:r>
        <w:t xml:space="preserve">entering Germany's job market, this work establishes expertise in solving sector-specific challenges—addressing a critical skills gap identified by the German Chemical Industry Association (VCI) in its 2023 workforce report.</w:t>
      </w:r>
    </w:p>
    <w:bookmarkEnd w:id="24"/>
    <w:bookmarkStart w:id="25" w:name="timeline-and-institutional-alignment"/>
    <w:p>
      <w:pPr>
        <w:pStyle w:val="Heading2"/>
      </w:pPr>
      <w:r>
        <w:t xml:space="preserve">6. Timeline and Institutional Alignment</w:t>
      </w:r>
    </w:p>
    <w:p>
      <w:pPr>
        <w:pStyle w:val="FirstParagraph"/>
      </w:pPr>
      <w:r>
        <w:t xml:space="preserve">The 18-month project aligns with Frankfurt's industrial priorities through established partnerships:</w:t>
      </w:r>
    </w:p>
    <w:p>
      <w:pPr>
        <w:numPr>
          <w:ilvl w:val="0"/>
          <w:numId w:val="1003"/>
        </w:numPr>
        <w:pStyle w:val="Compact"/>
      </w:pPr>
      <w:r>
        <w:rPr>
          <w:bCs/>
          <w:b/>
        </w:rPr>
        <w:t xml:space="preserve">Months 1-3:</w:t>
      </w:r>
      <w:r>
        <w:t xml:space="preserve"> </w:t>
      </w:r>
      <w:r>
        <w:t xml:space="preserve">Data acquisition via Fraunhofer ICT (Frankfurt-based)</w:t>
      </w:r>
    </w:p>
    <w:p>
      <w:pPr>
        <w:numPr>
          <w:ilvl w:val="0"/>
          <w:numId w:val="1003"/>
        </w:numPr>
        <w:pStyle w:val="Compact"/>
      </w:pPr>
      <w:r>
        <w:rPr>
          <w:bCs/>
          <w:b/>
        </w:rPr>
        <w:t xml:space="preserve">Months 4-9:</w:t>
      </w:r>
      <w:r>
        <w:t xml:space="preserve"> </w:t>
      </w:r>
      <w:r>
        <w:t xml:space="preserve">Process development at Frankfurt University of Applied Sciences' Center for Sustainable Chemical Engineering</w:t>
      </w:r>
    </w:p>
    <w:p>
      <w:pPr>
        <w:numPr>
          <w:ilvl w:val="0"/>
          <w:numId w:val="1003"/>
        </w:numPr>
        <w:pStyle w:val="Compact"/>
      </w:pPr>
      <w:r>
        <w:rPr>
          <w:bCs/>
          <w:b/>
        </w:rPr>
        <w:t xml:space="preserve">Months 10-12:</w:t>
      </w:r>
      <w:r>
        <w:t xml:space="preserve"> </w:t>
      </w:r>
      <w:r>
        <w:t xml:space="preserve">Validation with industrial partners (e.g., Clariant Frankfurt, BASF Logistics Center)</w:t>
      </w:r>
    </w:p>
    <w:p>
      <w:pPr>
        <w:pStyle w:val="FirstParagraph"/>
      </w:pPr>
      <w:r>
        <w:t xml:space="preserve">This timeline ensures immediate industry relevance—delivering actionable insights before Frankfurt's upcoming Chemical Industry Decarbonization Forum (October 2025). The research structure fully complies with German academic standards (including DIN EN ISO 9001:2015 process documentation) and leverages Germany's Federal Ministry of Education and Research funding mechanisms for sustainability projects.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Chemical Engineer</w:t>
      </w:r>
      <w:r>
        <w:t xml:space="preserve">'s role at the intersection of industrial innovation, regional strategy, and global climate imperatives within</w:t>
      </w:r>
      <w:r>
        <w:t xml:space="preserve"> </w:t>
      </w:r>
      <w:r>
        <w:rPr>
          <w:iCs/>
          <w:i/>
        </w:rPr>
        <w:t xml:space="preserve">Germany Frankfurt</w:t>
      </w:r>
      <w:r>
        <w:t xml:space="preserve">. By focusing on actionable solutions for this world-class chemical cluster—rather than theoretical frameworks—it delivers immediate value to Germany's transition toward a circular chemical economy. The research transcends academic exercise: It equips future</w:t>
      </w:r>
      <w:r>
        <w:t xml:space="preserve"> </w:t>
      </w:r>
      <w:r>
        <w:rPr>
          <w:bCs/>
          <w:b/>
        </w:rPr>
        <w:t xml:space="preserve">Chemical Engineer</w:t>
      </w:r>
      <w:r>
        <w:t xml:space="preserve">s with the tools to transform Frankfurt from a traditional petrochemical hub into an exemplar of sustainable industrial practice, directly advancing Germany's leadership in green technology. This project embodies the spirit of engineering excellence demanded by today's most complex sustainability challenges.</w:t>
      </w:r>
    </w:p>
    <w:p>
      <w:pPr>
        <w:pStyle w:val="BodyText"/>
      </w:pPr>
      <w:r>
        <w:rPr>
          <w:iCs/>
          <w:i/>
        </w:rPr>
        <w:t xml:space="preserve">This proposal is submitted to the Faculty of Engineering at Frankfurt University for consideration as a master's thesis in Chemical Engineering. It aligns with all German academic requirements under § 16 (Bologna Process) and explicitly addresses Germany Frankfurt's strategic industrial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Petrochemical Processes in Germany Frankfurt</dc:title>
  <dc:creator/>
  <dc:language>en</dc:language>
  <cp:keywords/>
  <dcterms:created xsi:type="dcterms:W3CDTF">2026-07-22T11:20:07Z</dcterms:created>
  <dcterms:modified xsi:type="dcterms:W3CDTF">2026-07-22T11:20:07Z</dcterms:modified>
</cp:coreProperties>
</file>

<file path=docProps/custom.xml><?xml version="1.0" encoding="utf-8"?>
<Properties xmlns="http://schemas.openxmlformats.org/officeDocument/2006/custom-properties" xmlns:vt="http://schemas.openxmlformats.org/officeDocument/2006/docPropsVTypes"/>
</file>