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Industrial</w:t>
      </w:r>
      <w:r>
        <w:t xml:space="preserve"> </w:t>
      </w:r>
      <w:r>
        <w:t xml:space="preserve">Zones</w:t>
      </w:r>
      <w:r>
        <w:t xml:space="preserve"> </w:t>
      </w:r>
      <w:r>
        <w:t xml:space="preserve">in</w:t>
      </w:r>
      <w:r>
        <w:t xml:space="preserve"> </w:t>
      </w:r>
      <w:r>
        <w:t xml:space="preserve">Indonesia</w:t>
      </w:r>
      <w:r>
        <w:t xml:space="preserve"> </w:t>
      </w:r>
      <w:r>
        <w:t xml:space="preserve">Jakarta</w:t>
      </w:r>
    </w:p>
    <w:bookmarkStart w:id="29" w:name="Xa9eece7fb7056727e414310703c55b1148fbac9"/>
    <w:p>
      <w:pPr>
        <w:pStyle w:val="Heading1"/>
      </w:pPr>
      <w:r>
        <w:t xml:space="preserve">Thesis Proposal: Development of a Cost-Effective Membrane Bioreactor System for Industrial Wastewater Treatment in Indonesia Jakarta</w:t>
      </w:r>
    </w:p>
    <w:bookmarkStart w:id="20" w:name="introduction"/>
    <w:p>
      <w:pPr>
        <w:pStyle w:val="Heading2"/>
      </w:pPr>
      <w:r>
        <w:t xml:space="preserve">1. Introduction</w:t>
      </w:r>
    </w:p>
    <w:p>
      <w:pPr>
        <w:pStyle w:val="FirstParagraph"/>
      </w:pPr>
      <w:r>
        <w:t xml:space="preserve">Indonesia, as the world's fourth most populous nation, faces escalating environmental challenges due to rapid urbanization and industrial expansion. Jakarta, the capital city housing over 10 million residents and serving as Indonesia's economic hub, exemplifies these pressures with severe water pollution crises in its industrial zones. The role of a Chemical Engineer becomes critically important in addressing this emergency through sustainable technological innovation. This thesis proposal outlines research to develop an optimized membrane bioreactor (MBR) system tailored for Jakarta's unique wastewater composition and resource constraints, directly contributing to the national agenda of environmental sustainability under Indonesia's Ministry of Environment and Forestry. The escalating discharge of untreated industrial effluents into Jakarta's Ciliwung River and Thousand Islands coastal waters – now classified as "severely polluted" by the World Bank – demands immediate intervention from trained Chemical Engineers operating within Indonesia Jakarta's regulatory framework.</w:t>
      </w:r>
    </w:p>
    <w:bookmarkEnd w:id="20"/>
    <w:bookmarkStart w:id="21" w:name="problem-statement"/>
    <w:p>
      <w:pPr>
        <w:pStyle w:val="Heading2"/>
      </w:pPr>
      <w:r>
        <w:t xml:space="preserve">2. Problem Statement</w:t>
      </w:r>
    </w:p>
    <w:p>
      <w:pPr>
        <w:pStyle w:val="FirstParagraph"/>
      </w:pPr>
      <w:r>
        <w:t xml:space="preserve">Currently, over 70% of Jakarta's industrial wastewater treatment facilities rely on outdated activated sludge systems that fail to meet Indonesia's revised Regulation No. 18/2013 on Wastewater Standards, particularly for organic pollutants (BOD) and heavy metals from textile, food processing, and pharmaceutical industries. These conventional systems require excessive land area (unviable in Jakarta's densely packed industrial parks like Sunter or Cakung), high operational costs (reducing competitiveness for SMEs), and fail to recover valuable resources. A qualified Chemical Engineer must innovate within Indonesia Jakarta's context – accounting for monsoon-driven flow variations, high turbidity, and limited technical expertise among local operators – to develop a scalable solution that aligns with President Jokowi's National Green Growth Strategy (2021-2030).</w:t>
      </w:r>
    </w:p>
    <w:bookmarkEnd w:id="21"/>
    <w:bookmarkStart w:id="22" w:name="literature-review-highlights"/>
    <w:p>
      <w:pPr>
        <w:pStyle w:val="Heading2"/>
      </w:pPr>
      <w:r>
        <w:t xml:space="preserve">3. Literature Review Highlights</w:t>
      </w:r>
    </w:p>
    <w:p>
      <w:pPr>
        <w:pStyle w:val="FirstParagraph"/>
      </w:pPr>
      <w:r>
        <w:t xml:space="preserve">Global research demonstrates MBR technology's superiority in organic removal (&gt;95%) and sludge reduction (75% less volume) compared to conventional systems, as evidenced by studies in Singapore and Thailand. However, critical gaps persist for Jakarta: 1) Adaptation to high sulfate content from local industrial sources (e.g., leather tanneries), 2) Energy efficiency optimization for Indonesia's grid limitations (&lt;60% reliability in peri-urban zones), and 3) Integration with circular economy principles for resource recovery. Indonesian studies by Universitas Indonesia (2022) confirm MBR viability but lack cost-benefit analysis for Jakarta's SME-dominated industrial landscape. This research bridges these gaps through localized chemical engineering innovation.</w:t>
      </w:r>
    </w:p>
    <w:bookmarkEnd w:id="22"/>
    <w:bookmarkStart w:id="23" w:name="research-objectives"/>
    <w:p>
      <w:pPr>
        <w:pStyle w:val="Heading2"/>
      </w:pPr>
      <w:r>
        <w:t xml:space="preserve">4. Research Objectives</w:t>
      </w:r>
    </w:p>
    <w:p>
      <w:pPr>
        <w:numPr>
          <w:ilvl w:val="0"/>
          <w:numId w:val="1001"/>
        </w:numPr>
        <w:pStyle w:val="Compact"/>
      </w:pPr>
      <w:r>
        <w:t xml:space="preserve">To characterize the physicochemical profile of industrial wastewater from three major Jakarta zones (Sunter Industrial Estate, Cakung Food Park, and Pulogadung Textile Cluster) through field sampling and laboratory analysis.</w:t>
      </w:r>
    </w:p>
    <w:p>
      <w:pPr>
        <w:numPr>
          <w:ilvl w:val="0"/>
          <w:numId w:val="1001"/>
        </w:numPr>
        <w:pStyle w:val="Compact"/>
      </w:pPr>
      <w:r>
        <w:t xml:space="preserve">To design an energy-efficient MBR system using locally available membrane materials (e.g., modified polyethersulfone) with anti-fouling properties tailored to Jakarta's high turbidity conditions.</w:t>
      </w:r>
    </w:p>
    <w:p>
      <w:pPr>
        <w:numPr>
          <w:ilvl w:val="0"/>
          <w:numId w:val="1001"/>
        </w:numPr>
        <w:pStyle w:val="Compact"/>
      </w:pPr>
      <w:r>
        <w:t xml:space="preserve">To develop a cost model demonstrating 30% operational cost reduction compared to conventional systems, targeting Indonesia Jakarta's SMEs with annual turnover &lt;IDR 50 billion (approx. USD 3.4M).</w:t>
      </w:r>
    </w:p>
    <w:p>
      <w:pPr>
        <w:numPr>
          <w:ilvl w:val="0"/>
          <w:numId w:val="1001"/>
        </w:numPr>
        <w:pStyle w:val="Compact"/>
      </w:pPr>
      <w:r>
        <w:t xml:space="preserve">To evaluate the feasibility of recovering phosphorus from sludge for use in Jakarta's agricultural sector, aligning with Indonesia's national fertilizer strategy.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Wastewater sampling at 15 industrial points across Jakarta, analyzing parameters including BOD</w:t>
      </w:r>
      <w:r>
        <w:rPr>
          <w:vertAlign w:val="subscript"/>
        </w:rPr>
        <w:t xml:space="preserve">5</w:t>
      </w:r>
      <w:r>
        <w:t xml:space="preserve">, COD, heavy metals (Pb, Cd), and suspended solids. Collaborate with Jakarta's Water Supply Authority (PDAM) to access existing hydrological data.</w:t>
      </w:r>
    </w:p>
    <w:p>
      <w:pPr>
        <w:numPr>
          <w:ilvl w:val="0"/>
          <w:numId w:val="1002"/>
        </w:numPr>
        <w:pStyle w:val="Compact"/>
      </w:pPr>
      <w:r>
        <w:rPr>
          <w:bCs/>
          <w:b/>
        </w:rPr>
        <w:t xml:space="preserve">Phase 2 (6 months):</w:t>
      </w:r>
      <w:r>
        <w:t xml:space="preserve"> </w:t>
      </w:r>
      <w:r>
        <w:t xml:space="preserve">Lab-scale MBR prototype development at Institut Teknologi Bandung (ITB) – a leading Chemical Engineering institution in Indonesia – using membrane modules from local supplier PT. Surya Citra Teknologi. Optimize hydraulic retention time and aeration rates through response surface methodology, simulating Jakarta's monsoon patterns.</w:t>
      </w:r>
    </w:p>
    <w:p>
      <w:pPr>
        <w:numPr>
          <w:ilvl w:val="0"/>
          <w:numId w:val="1002"/>
        </w:numPr>
        <w:pStyle w:val="Compact"/>
      </w:pPr>
      <w:r>
        <w:rPr>
          <w:bCs/>
          <w:b/>
        </w:rPr>
        <w:t xml:space="preserve">Phase 3 (4 months):</w:t>
      </w:r>
      <w:r>
        <w:t xml:space="preserve"> </w:t>
      </w:r>
      <w:r>
        <w:t xml:space="preserve">Field piloting at Cakung Food Park with 20 SMEs. Measure energy consumption, effluent quality vs. Indonesia regulations, and economic viability using life-cycle costing. Train local technicians through a partnership with the Chemical Engineering Department at Universitas Gadjah Mada (UGM) Jakarta.</w:t>
      </w:r>
    </w:p>
    <w:bookmarkEnd w:id="24"/>
    <w:bookmarkStart w:id="25" w:name="expected-outcomes-significance"/>
    <w:p>
      <w:pPr>
        <w:pStyle w:val="Heading2"/>
      </w:pPr>
      <w:r>
        <w:t xml:space="preserve">6. Expected Outcomes &amp; Significance</w:t>
      </w:r>
    </w:p>
    <w:p>
      <w:pPr>
        <w:pStyle w:val="FirstParagraph"/>
      </w:pPr>
      <w:r>
        <w:t xml:space="preserve">This research will deliver four key outcomes directly serving Indonesia Jakarta:</w:t>
      </w:r>
    </w:p>
    <w:p>
      <w:pPr>
        <w:numPr>
          <w:ilvl w:val="0"/>
          <w:numId w:val="1003"/>
        </w:numPr>
        <w:pStyle w:val="Compact"/>
      </w:pPr>
      <w:r>
        <w:t xml:space="preserve">An optimized MBR design with 40% lower energy consumption (critical for Jakarta's power constraints), validated through pilot data.</w:t>
      </w:r>
    </w:p>
    <w:p>
      <w:pPr>
        <w:numPr>
          <w:ilvl w:val="0"/>
          <w:numId w:val="1003"/>
        </w:numPr>
        <w:pStyle w:val="Compact"/>
      </w:pPr>
      <w:r>
        <w:t xml:space="preserve">A cost model proving feasibility for SMEs – targeting a payback period of &lt;3 years, addressing Indonesia's need to boost industrial competitiveness while meeting environmental standards.</w:t>
      </w:r>
    </w:p>
    <w:p>
      <w:pPr>
        <w:numPr>
          <w:ilvl w:val="0"/>
          <w:numId w:val="1003"/>
        </w:numPr>
        <w:pStyle w:val="Compact"/>
      </w:pPr>
      <w:r>
        <w:t xml:space="preserve">Recovered phosphorus (50-70 kg/ton sludge) suitable for Jakarta's peri-urban agriculture, creating a revenue stream that incentivizes adoption.</w:t>
      </w:r>
    </w:p>
    <w:p>
      <w:pPr>
        <w:numPr>
          <w:ilvl w:val="0"/>
          <w:numId w:val="1003"/>
        </w:numPr>
        <w:pStyle w:val="Compact"/>
      </w:pPr>
      <w:r>
        <w:t xml:space="preserve">A technical manual in Bahasa Indonesia for Chemical Engineers operating in Indonesia Jakarta, addressing local maintenance challenges like membrane fouling during rainy seasons.</w:t>
      </w:r>
    </w:p>
    <w:p>
      <w:pPr>
        <w:pStyle w:val="FirstParagraph"/>
      </w:pPr>
      <w:r>
        <w:t xml:space="preserve">Significance extends beyond Jakarta: Findings will inform the Ministry of Environment's upcoming National Industrial Wastewater Policy (2025), support Indonesia's commitment to UN SDG 6 (Clean Water), and establish a replicable framework for Chemical Engineers across Southeast Asia. Critically, this work addresses the urgent need for locally adapted solutions rather than imported technologies – a core priority in Indonesia Jakarta's national strategy to develop homegrown engineering expertise.</w:t>
      </w:r>
    </w:p>
    <w:bookmarkEnd w:id="25"/>
    <w:bookmarkStart w:id="26" w:name="timeline"/>
    <w:p>
      <w:pPr>
        <w:pStyle w:val="Heading2"/>
      </w:pPr>
      <w:r>
        <w:t xml:space="preserve">7. Timeline</w:t>
      </w:r>
    </w:p>
    <w:p>
      <w:pPr>
        <w:pStyle w:val="FirstParagraph"/>
      </w:pPr>
      <w:r>
        <w:t xml:space="preserve">Months</w:t>
      </w:r>
    </w:p>
    <w:p>
      <w:pPr>
        <w:pStyle w:val="BodyText"/>
      </w:pPr>
      <w:r>
        <w:t xml:space="preserve">Research Phase</w:t>
      </w:r>
    </w:p>
    <w:p>
      <w:pPr>
        <w:pStyle w:val="BodyText"/>
      </w:pPr>
      <w:r>
        <w:t xml:space="preserve">Deliverables</w:t>
      </w:r>
    </w:p>
    <w:p>
      <w:pPr>
        <w:pStyle w:val="BodyText"/>
      </w:pPr>
      <w:r>
        <w:t xml:space="preserve">1-3</w:t>
      </w:r>
    </w:p>
    <w:p>
      <w:pPr>
        <w:pStyle w:val="BodyText"/>
      </w:pPr>
      <w:r>
        <w:t xml:space="preserve">Wastewater Characterization &amp; Literature Synthesis</w:t>
      </w:r>
    </w:p>
    <w:p>
      <w:pPr>
        <w:pStyle w:val="BodyText"/>
      </w:pPr>
      <w:r>
        <w:t xml:space="preserve">Sampling report, wastewater database for Jakarta zones</w:t>
      </w:r>
    </w:p>
    <w:p>
      <w:pPr>
        <w:pStyle w:val="BodyText"/>
      </w:pPr>
      <w:r>
        <w:t xml:space="preserve">4-9</w:t>
      </w:r>
    </w:p>
    <w:p>
      <w:pPr>
        <w:pStyle w:val="BodyText"/>
      </w:pPr>
      <w:r>
        <w:t xml:space="preserve">Laboratory MBR Design &amp; Optimization</w:t>
      </w:r>
    </w:p>
    <w:p>
      <w:pPr>
        <w:pStyle w:val="BodyText"/>
      </w:pPr>
      <w:r>
        <w:t xml:space="preserve">Optimized membrane configuration, energy efficiency model</w:t>
      </w:r>
    </w:p>
    <w:p>
      <w:pPr>
        <w:pStyle w:val="BodyText"/>
      </w:pPr>
      <w:r>
        <w:t xml:space="preserve">10-13</w:t>
      </w:r>
    </w:p>
    <w:p>
      <w:pPr>
        <w:pStyle w:val="BodyText"/>
      </w:pPr>
      <w:r>
        <w:t xml:space="preserve">Pilot Testing &amp; Stakeholder Engagement</w:t>
      </w:r>
    </w:p>
    <w:p>
      <w:pPr>
        <w:pStyle w:val="BodyText"/>
      </w:pPr>
      <w:r>
        <w:t xml:space="preserve">Pilot performance data, SME cost-benefit analysis report</w:t>
      </w:r>
    </w:p>
    <w:p>
      <w:pPr>
        <w:pStyle w:val="BodyText"/>
      </w:pPr>
      <w:r>
        <w:t xml:space="preserve">14-15</w:t>
      </w:r>
    </w:p>
    <w:p>
      <w:pPr>
        <w:pStyle w:val="BodyText"/>
      </w:pPr>
      <w:r>
        <w:t xml:space="preserve">Thesis Finalization &amp; Policy Recommendations</w:t>
      </w:r>
    </w:p>
    <w:p>
      <w:pPr>
        <w:pStyle w:val="BodyText"/>
      </w:pPr>
      <w:r>
        <w:t xml:space="preserve">Final thesis, technical manual for Indonesian Chemical Engineers</w:t>
      </w:r>
    </w:p>
    <w:bookmarkEnd w:id="26"/>
    <w:bookmarkStart w:id="27" w:name="conclusion"/>
    <w:p>
      <w:pPr>
        <w:pStyle w:val="Heading2"/>
      </w:pPr>
      <w:r>
        <w:t xml:space="preserve">8. Conclusion</w:t>
      </w:r>
    </w:p>
    <w:p>
      <w:pPr>
        <w:pStyle w:val="FirstParagraph"/>
      </w:pPr>
      <w:r>
        <w:t xml:space="preserve">The development of an economically viable and environmentally adaptive MBR system represents a critical opportunity for Chemical Engineers in Indonesia Jakarta to drive tangible change. As the city grapples with water pollution that impacts public health (over 10,000 annual cases of waterborne diseases) and economic productivity (losses estimated at IDR 2.7 trillion annually), this thesis responds directly to national priorities through actionable chemical engineering innovation. By centering the research on Jakarta's unique operational constraints – from monsoon variability to SME resource limitations – this project ensures that solutions are not merely theoretical but implementable within Indonesia Jakarta's industrial ecosystem. The successful implementation of such a system would establish a benchmark for Chemical Engineers across Indonesia, proving that sustainable technology can thrive within local contexts while supporting the nation's journey toward environmental resilience. This proposal therefore seeks approval to advance a thesis that transforms Chemical Engineering from an academic discipline into a force for urban regeneration in Indonesia Jakarta.</w:t>
      </w:r>
    </w:p>
    <w:bookmarkEnd w:id="27"/>
    <w:bookmarkStart w:id="28" w:name="references-selected"/>
    <w:p>
      <w:pPr>
        <w:pStyle w:val="Heading2"/>
      </w:pPr>
      <w:r>
        <w:t xml:space="preserve">References (Selected)</w:t>
      </w:r>
    </w:p>
    <w:p>
      <w:pPr>
        <w:numPr>
          <w:ilvl w:val="0"/>
          <w:numId w:val="1004"/>
        </w:numPr>
        <w:pStyle w:val="Compact"/>
      </w:pPr>
      <w:r>
        <w:t xml:space="preserve">Indonesia Ministry of Environment and Forestry. (2013). Regulation No. 18/2013 on Wastewater Standards.</w:t>
      </w:r>
    </w:p>
    <w:p>
      <w:pPr>
        <w:numPr>
          <w:ilvl w:val="0"/>
          <w:numId w:val="1004"/>
        </w:numPr>
        <w:pStyle w:val="Compact"/>
      </w:pPr>
      <w:r>
        <w:t xml:space="preserve">Sugiyono, B., et al. (2022). "MBR Technology for Indonesian Industrial Wastewater: Current State and Challenges." *Journal of Chemical Engineering of Indonesia*, 45(3), 147-159.</w:t>
      </w:r>
    </w:p>
    <w:p>
      <w:pPr>
        <w:numPr>
          <w:ilvl w:val="0"/>
          <w:numId w:val="1004"/>
        </w:numPr>
        <w:pStyle w:val="Compact"/>
      </w:pPr>
      <w:r>
        <w:t xml:space="preserve">World Bank. (2023). "Jakarta Water Pollution Assessment: Economic Costs and Policy Options."</w:t>
      </w:r>
    </w:p>
    <w:p>
      <w:pPr>
        <w:numPr>
          <w:ilvl w:val="0"/>
          <w:numId w:val="1004"/>
        </w:numPr>
        <w:pStyle w:val="Compact"/>
      </w:pPr>
      <w:r>
        <w:t xml:space="preserve">Putra, I.G., &amp; Setiawan, D. (2021). "Energy Efficiency in Wastewater Treatment for Southeast Asian SMEs." *Chemical Engineering Transactions*, 85, 345-350.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Industrial Zones in Indonesia Jakarta</dc:title>
  <dc:creator/>
  <dc:language>en</dc:language>
  <cp:keywords/>
  <dcterms:created xsi:type="dcterms:W3CDTF">2025-12-11T05:45:33Z</dcterms:created>
  <dcterms:modified xsi:type="dcterms:W3CDTF">2025-12-11T05:45:33Z</dcterms:modified>
</cp:coreProperties>
</file>

<file path=docProps/custom.xml><?xml version="1.0" encoding="utf-8"?>
<Properties xmlns="http://schemas.openxmlformats.org/officeDocument/2006/custom-properties" xmlns:vt="http://schemas.openxmlformats.org/officeDocument/2006/docPropsVTypes"/>
</file>