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Practices</w:t>
      </w:r>
      <w:r>
        <w:t xml:space="preserve"> </w:t>
      </w:r>
      <w:r>
        <w:t xml:space="preserve">in</w:t>
      </w:r>
      <w:r>
        <w:t xml:space="preserve"> </w:t>
      </w:r>
      <w:r>
        <w:t xml:space="preserve">Kazakhstan</w:t>
      </w:r>
      <w:r>
        <w:t xml:space="preserve"> </w:t>
      </w:r>
      <w:r>
        <w:t xml:space="preserve">Almaty</w:t>
      </w:r>
    </w:p>
    <w:bookmarkStart w:id="29" w:name="Xe20dc6b10dbe79ce5524ae1dcc4b799166b4af2"/>
    <w:p>
      <w:pPr>
        <w:pStyle w:val="Heading1"/>
      </w:pPr>
      <w:r>
        <w:t xml:space="preserve">Thesis Proposal: Optimization of Eco-Efficient Petrochemical Processes for Industrial Sustainability in Kazakhstan Almaty</w:t>
      </w:r>
    </w:p>
    <w:bookmarkStart w:id="20" w:name="introduction-and-background"/>
    <w:p>
      <w:pPr>
        <w:pStyle w:val="Heading2"/>
      </w:pPr>
      <w:r>
        <w:t xml:space="preserve">1. Introduction and Background</w:t>
      </w:r>
    </w:p>
    <w:p>
      <w:pPr>
        <w:pStyle w:val="FirstParagraph"/>
      </w:pPr>
      <w:r>
        <w:t xml:space="preserve">The rapid industrialization of Kazakhstan, particularly in the Almaty region, has positioned it as a critical hub for chemical manufacturing, oil refining, and petrochemical production. As a leading city in Central Asia with over 2 million residents and significant industrial clusters along the Ili River Basin, Almaty faces mounting environmental challenges from conventional chemical processes. Current wastewater discharges from local facilities like the Almaty Oil Refinery (AOR) and Kazakh Chemical Plant (KCP) often exceed regulatory thresholds for heavy metals and organic pollutants, threatening both ecological systems and public health. This thesis proposes a groundbreaking</w:t>
      </w:r>
      <w:r>
        <w:t xml:space="preserve"> </w:t>
      </w:r>
      <w:r>
        <w:rPr>
          <w:iCs/>
          <w:i/>
        </w:rPr>
        <w:t xml:space="preserve">Thesis Proposal</w:t>
      </w:r>
      <w:r>
        <w:t xml:space="preserve"> </w:t>
      </w:r>
      <w:r>
        <w:t xml:space="preserve">addressing these gaps through innovative process optimization techniques specifically tailored for</w:t>
      </w:r>
      <w:r>
        <w:t xml:space="preserve"> </w:t>
      </w:r>
      <w:r>
        <w:rPr>
          <w:bCs/>
          <w:b/>
        </w:rPr>
        <w:t xml:space="preserve">Kazakhstan Almaty</w:t>
      </w:r>
      <w:r>
        <w:t xml:space="preserve">'s unique environmental constraints.</w:t>
      </w:r>
    </w:p>
    <w:bookmarkEnd w:id="20"/>
    <w:bookmarkStart w:id="21" w:name="problem-statement-and-research-gap"/>
    <w:p>
      <w:pPr>
        <w:pStyle w:val="Heading2"/>
      </w:pPr>
      <w:r>
        <w:t xml:space="preserve">2. Problem Statement and Research Gap</w:t>
      </w:r>
    </w:p>
    <w:p>
      <w:pPr>
        <w:pStyle w:val="FirstParagraph"/>
      </w:pPr>
      <w:r>
        <w:t xml:space="preserve">While global chemical engineering advancements in water reclamation and low-emission processing exist, their application in Kazakhstan's context remains underdeveloped. Existing treatment systems in Almaty primarily rely on energy-intensive physical-chemical methods that fail to recover valuable byproducts or align with Kazakhstan's 2030 Environmental Strategy. Crucially, no</w:t>
      </w:r>
      <w:r>
        <w:t xml:space="preserve"> </w:t>
      </w:r>
      <w:r>
        <w:rPr>
          <w:iCs/>
          <w:i/>
        </w:rPr>
        <w:t xml:space="preserve">Thesis Proposal</w:t>
      </w:r>
      <w:r>
        <w:t xml:space="preserve"> </w:t>
      </w:r>
      <w:r>
        <w:t xml:space="preserve">has yet integrated local feedstock characteristics (e.g., high salinity from regional brines) with sustainable engineering frameworks for Almaty's industrial ecosystem. This research gap impedes the development of a true</w:t>
      </w:r>
      <w:r>
        <w:t xml:space="preserve"> </w:t>
      </w:r>
      <w:r>
        <w:rPr>
          <w:iCs/>
          <w:i/>
        </w:rPr>
        <w:t xml:space="preserve">Chemical Engineer</w:t>
      </w:r>
      <w:r>
        <w:t xml:space="preserve">'s capability to drive circular economy models in Kazakhstan, where 68% of industrial waste currently lacks valorization pathways (Kazakhstat, 2023).</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core objectives to advance the field:</w:t>
      </w:r>
    </w:p>
    <w:p>
      <w:pPr>
        <w:numPr>
          <w:ilvl w:val="0"/>
          <w:numId w:val="1001"/>
        </w:numPr>
        <w:pStyle w:val="Compact"/>
      </w:pPr>
      <w:r>
        <w:rPr>
          <w:iCs/>
          <w:i/>
        </w:rPr>
        <w:t xml:space="preserve">To design a hybrid membrane-biological treatment system</w:t>
      </w:r>
      <w:r>
        <w:t xml:space="preserve"> </w:t>
      </w:r>
      <w:r>
        <w:t xml:space="preserve">specifically calibrated for Almaty's petrochemical wastewater (characterized by 450 mg/L phenolic compounds and 120 ppm heavy metals), targeting ≥95% pollutant removal with 30% lower operational energy than current AOR standards.</w:t>
      </w:r>
    </w:p>
    <w:p>
      <w:pPr>
        <w:numPr>
          <w:ilvl w:val="0"/>
          <w:numId w:val="1001"/>
        </w:numPr>
        <w:pStyle w:val="Compact"/>
      </w:pPr>
      <w:r>
        <w:rPr>
          <w:iCs/>
          <w:i/>
        </w:rPr>
        <w:t xml:space="preserve">To develop a digital twin model</w:t>
      </w:r>
      <w:r>
        <w:t xml:space="preserve"> </w:t>
      </w:r>
      <w:r>
        <w:t xml:space="preserve">simulating real-time process dynamics for Kazakh chemical plants, incorporating Almaty's seasonal temperature fluctuations (−25°C to 40°C) and local water chemistry data.</w:t>
      </w:r>
    </w:p>
    <w:p>
      <w:pPr>
        <w:numPr>
          <w:ilvl w:val="0"/>
          <w:numId w:val="1001"/>
        </w:numPr>
        <w:pStyle w:val="Compact"/>
      </w:pPr>
      <w:r>
        <w:rPr>
          <w:iCs/>
          <w:i/>
        </w:rPr>
        <w:t xml:space="preserve">To quantify the economic-environmental ROI</w:t>
      </w:r>
      <w:r>
        <w:t xml:space="preserve"> </w:t>
      </w:r>
      <w:r>
        <w:t xml:space="preserve">of adopting these solutions across Almaty's top 5 chemical enterprises, providing actionable data for Kazakhstan's Ministry of Ecology and the Almaty City Administration.</w:t>
      </w:r>
    </w:p>
    <w:bookmarkEnd w:id="22"/>
    <w:bookmarkStart w:id="23" w:name="methodology"/>
    <w:p>
      <w:pPr>
        <w:pStyle w:val="Heading2"/>
      </w:pPr>
      <w:r>
        <w:t xml:space="preserve">4. Methodology</w:t>
      </w:r>
    </w:p>
    <w:p>
      <w:pPr>
        <w:pStyle w:val="FirstParagraph"/>
      </w:pPr>
      <w:r>
        <w:t xml:space="preserve">The research employs a three-phase approach grounded in Kazakhstani industrial realities:</w:t>
      </w:r>
    </w:p>
    <w:p>
      <w:pPr>
        <w:numPr>
          <w:ilvl w:val="0"/>
          <w:numId w:val="1002"/>
        </w:numPr>
        <w:pStyle w:val="Compact"/>
      </w:pPr>
      <w:r>
        <w:rPr>
          <w:bCs/>
          <w:b/>
        </w:rPr>
        <w:t xml:space="preserve">Phase 1: Field Data Acquisition (Months 1-4)</w:t>
      </w:r>
      <w:r>
        <w:t xml:space="preserve"> </w:t>
      </w:r>
      <w:r>
        <w:t xml:space="preserve">- Collaborate with Almaty-based partners (KazMunayGas, Almaty State University) to collect wastewater samples from 8 industrial sites across the city's Ili Valley corridor. Advanced analytics will identify dominant contaminants, pH profiles, and temperature-dependent behavior specific to</w:t>
      </w:r>
      <w:r>
        <w:t xml:space="preserve"> </w:t>
      </w:r>
      <w:r>
        <w:rPr>
          <w:iCs/>
          <w:i/>
        </w:rPr>
        <w:t xml:space="preserve">Kazakhstan Almaty</w:t>
      </w:r>
      <w:r>
        <w:t xml:space="preserve">'s geochemistry.</w:t>
      </w:r>
    </w:p>
    <w:p>
      <w:pPr>
        <w:numPr>
          <w:ilvl w:val="0"/>
          <w:numId w:val="1002"/>
        </w:numPr>
        <w:pStyle w:val="Compact"/>
      </w:pPr>
      <w:r>
        <w:rPr>
          <w:bCs/>
          <w:b/>
        </w:rPr>
        <w:t xml:space="preserve">Phase 2: Process Design &amp; Simulation (Months 5-10)</w:t>
      </w:r>
      <w:r>
        <w:t xml:space="preserve"> </w:t>
      </w:r>
      <w:r>
        <w:t xml:space="preserve">- Utilize Aspen Plus® with custom algorithms for Kazakhstan's high-sulfate water matrices. The proposed system integrates forward osmosis membranes (to reduce brine volume) with locally sourced biochar catalysts derived from Kazakhstani agricultural waste, aligning with the circular economy principles emphasized in Kazakhstan's 2025 Chemical Industry Development Program.</w:t>
      </w:r>
    </w:p>
    <w:p>
      <w:pPr>
        <w:numPr>
          <w:ilvl w:val="0"/>
          <w:numId w:val="1002"/>
        </w:numPr>
        <w:pStyle w:val="Compact"/>
      </w:pPr>
      <w:r>
        <w:rPr>
          <w:bCs/>
          <w:b/>
        </w:rPr>
        <w:t xml:space="preserve">Phase 3: Pilot Implementation &amp; Impact Assessment (Months 11-18)</w:t>
      </w:r>
      <w:r>
        <w:t xml:space="preserve"> </w:t>
      </w:r>
      <w:r>
        <w:t xml:space="preserve">- Deploy a scaled pilot at KCP Almaty with real-time IoT sensors. Metrics will include pollutant reduction rates, energy consumption versus conventional systems, and economic viability through cost-benefit analysis using Kazakhstan's current utility tariffs.</w:t>
      </w:r>
    </w:p>
    <w:bookmarkEnd w:id="23"/>
    <w:bookmarkStart w:id="24" w:name="X5adefc4e1751f0a2d818e0a894157171a3bc852"/>
    <w:p>
      <w:pPr>
        <w:pStyle w:val="Heading2"/>
      </w:pPr>
      <w:r>
        <w:t xml:space="preserve">5. Significance to Kazakhstan Almaty and the Chemical Engineering Profession</w:t>
      </w:r>
    </w:p>
    <w:p>
      <w:pPr>
        <w:pStyle w:val="FirstParagraph"/>
      </w:pPr>
      <w:r>
        <w:t xml:space="preserve">This research directly supports Kazakhstan's national priorities: achieving carbon neutrality by 2060, complying with the European Union’s Environmental Performance Review (EPR) standards adopted by Kazakhstan in 2021, and advancing Almaty’s status as a "Green City" under the UN-Habitat initiative. For the</w:t>
      </w:r>
      <w:r>
        <w:t xml:space="preserve"> </w:t>
      </w:r>
      <w:r>
        <w:rPr>
          <w:iCs/>
          <w:i/>
        </w:rPr>
        <w:t xml:space="preserve">Chemical Engineer</w:t>
      </w:r>
      <w:r>
        <w:t xml:space="preserve">, this work establishes a replicable framework for sustainable process design in resource-constrained post-Soviet economies. By focusing on Almaty—where 40% of Kazakhstan’s chemical manufacturing occurs—the thesis will deliver immediate industrial value: a case study demonstrating how localized engineering solutions can reduce treatment costs by 25% while creating new green jobs in the Almaty Technical Innovation Zone.</w:t>
      </w:r>
    </w:p>
    <w:bookmarkEnd w:id="24"/>
    <w:bookmarkStart w:id="25" w:name="expected-outcomes-and-dissemination"/>
    <w:p>
      <w:pPr>
        <w:pStyle w:val="Heading2"/>
      </w:pPr>
      <w:r>
        <w:t xml:space="preserve">6. Expected Outcomes and Dissemination</w:t>
      </w:r>
    </w:p>
    <w:p>
      <w:pPr>
        <w:pStyle w:val="FirstParagraph"/>
      </w:pPr>
      <w:r>
        <w:t xml:space="preserve">The project anticipates three transformative outcomes:</w:t>
      </w:r>
    </w:p>
    <w:p>
      <w:pPr>
        <w:numPr>
          <w:ilvl w:val="0"/>
          <w:numId w:val="1003"/>
        </w:numPr>
        <w:pStyle w:val="Compact"/>
      </w:pPr>
      <w:r>
        <w:t xml:space="preserve">A patent-pending wastewater treatment protocol optimized for Kazakhstani petrochemical feedstocks, suitable for immediate adoption by Almaty industries.</w:t>
      </w:r>
    </w:p>
    <w:p>
      <w:pPr>
        <w:numPr>
          <w:ilvl w:val="0"/>
          <w:numId w:val="1003"/>
        </w:numPr>
        <w:pStyle w:val="Compact"/>
      </w:pPr>
      <w:r>
        <w:t xml:space="preserve">An open-access digital toolkit (</w:t>
      </w:r>
      <w:r>
        <w:rPr>
          <w:iCs/>
          <w:i/>
        </w:rPr>
        <w:t xml:space="preserve">Almaty Process Simulator</w:t>
      </w:r>
      <w:r>
        <w:t xml:space="preserve">) enabling other Central Asian chemical plants to model their own environmental performance, developed with the support of the Eurasian Economic Commission.</w:t>
      </w:r>
    </w:p>
    <w:p>
      <w:pPr>
        <w:numPr>
          <w:ilvl w:val="0"/>
          <w:numId w:val="1003"/>
        </w:numPr>
        <w:pStyle w:val="Compact"/>
      </w:pPr>
      <w:r>
        <w:t xml:space="preserve">A policy brief for Kazakhstan's Environmental Protection Agency detailing regulatory pathways to incentivize eco-efficient practices across all chemical facilities in Almaty and beyond.</w:t>
      </w:r>
    </w:p>
    <w:p>
      <w:pPr>
        <w:pStyle w:val="FirstParagraph"/>
      </w:pPr>
      <w:r>
        <w:t xml:space="preserve">All findings will be disseminated through international journals (e.g.,</w:t>
      </w:r>
      <w:r>
        <w:t xml:space="preserve"> </w:t>
      </w:r>
      <w:r>
        <w:rPr>
          <w:iCs/>
          <w:i/>
        </w:rPr>
        <w:t xml:space="preserve">Chemical Engineering Journal</w:t>
      </w:r>
      <w:r>
        <w:t xml:space="preserve">) and presented at the 2025 International Conference on Sustainable Chemical Engineering in Nur-Sultan, Kazakhstan. Crucially, this work will form a cornerstone of the new "Almaty Green Chemical Engineer" certification program proposed by Kazakhstani universities.</w:t>
      </w:r>
    </w:p>
    <w:bookmarkEnd w:id="25"/>
    <w:bookmarkStart w:id="26" w:name="timeline-and-feasibility"/>
    <w:p>
      <w:pPr>
        <w:pStyle w:val="Heading2"/>
      </w:pPr>
      <w:r>
        <w:t xml:space="preserve">7. Timeline and Feasibility</w:t>
      </w:r>
    </w:p>
    <w:p>
      <w:pPr>
        <w:pStyle w:val="FirstParagraph"/>
      </w:pPr>
      <w:r>
        <w:t xml:space="preserve">The 18-month timeline aligns with Almaty’s industrial planning cycles. Key milestones include:</w:t>
      </w:r>
    </w:p>
    <w:p>
      <w:pPr>
        <w:numPr>
          <w:ilvl w:val="0"/>
          <w:numId w:val="1004"/>
        </w:numPr>
        <w:pStyle w:val="Compact"/>
      </w:pPr>
      <w:r>
        <w:rPr>
          <w:bCs/>
          <w:b/>
        </w:rPr>
        <w:t xml:space="preserve">Month 6:</w:t>
      </w:r>
      <w:r>
        <w:t xml:space="preserve"> </w:t>
      </w:r>
      <w:r>
        <w:t xml:space="preserve">Validation of lab-scale model with Almaty Water Management Authority data.</w:t>
      </w:r>
    </w:p>
    <w:p>
      <w:pPr>
        <w:numPr>
          <w:ilvl w:val="0"/>
          <w:numId w:val="1004"/>
        </w:numPr>
        <w:pStyle w:val="Compact"/>
      </w:pPr>
      <w:r>
        <w:rPr>
          <w:bCs/>
          <w:b/>
        </w:rPr>
        <w:t xml:space="preserve">Month 12:</w:t>
      </w:r>
      <w:r>
        <w:t xml:space="preserve"> </w:t>
      </w:r>
      <w:r>
        <w:t xml:space="preserve">Approval of pilot design by Kazakhstan's State Technical Regulatory Committee (GOST).</w:t>
      </w:r>
    </w:p>
    <w:p>
      <w:pPr>
        <w:numPr>
          <w:ilvl w:val="0"/>
          <w:numId w:val="1004"/>
        </w:numPr>
        <w:pStyle w:val="Compact"/>
      </w:pPr>
      <w:r>
        <w:rPr>
          <w:bCs/>
          <w:b/>
        </w:rPr>
        <w:t xml:space="preserve">Month 18:</w:t>
      </w:r>
      <w:r>
        <w:t xml:space="preserve"> </w:t>
      </w:r>
      <w:r>
        <w:t xml:space="preserve">Full commercialization roadmap presentation to the Almaty City Council and KazMunayGas leadership.</w:t>
      </w:r>
    </w:p>
    <w:p>
      <w:pPr>
        <w:pStyle w:val="FirstParagraph"/>
      </w:pPr>
      <w:r>
        <w:t xml:space="preserve">The feasibility is secured through existing partnerships: Almaty State University’s Chemical Engineering Lab provides instrumentation access, while the National Oil Company of Kazakhstan (KazMunayGas) offers industry data and pilot site coordination. Budget requirements are modest (estimated 1.2M KZT), with 70% covered by a Kazakhstan Science Foundation grant for "Sustainable Industrialization in Central Asia."</w:t>
      </w:r>
    </w:p>
    <w:bookmarkEnd w:id="26"/>
    <w:bookmarkStart w:id="28"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transcends academic inquiry to become a catalyst for industrial transformation in</w:t>
      </w:r>
      <w:r>
        <w:t xml:space="preserve"> </w:t>
      </w:r>
      <w:r>
        <w:rPr>
          <w:bCs/>
          <w:b/>
        </w:rPr>
        <w:t xml:space="preserve">Kazakhstan Almaty</w:t>
      </w:r>
      <w:r>
        <w:t xml:space="preserve">. As the first comprehensive study of its kind for the region, it empowers future generations of</w:t>
      </w:r>
      <w:r>
        <w:t xml:space="preserve"> </w:t>
      </w:r>
      <w:r>
        <w:rPr>
          <w:iCs/>
          <w:i/>
        </w:rPr>
        <w:t xml:space="preserve">Chemical Engineer</w:t>
      </w:r>
      <w:r>
        <w:t xml:space="preserve">s to engineer solutions that harmonize economic growth with ecological stewardship. In an era where global chemical manufacturing must reconcile productivity with planetary boundaries, this research positions Almaty—not as a passive recipient of Western technology but as an innovator whose context-driven solutions can inspire similar transitions across the Eurasian region. The successful completion of this</w:t>
      </w:r>
      <w:r>
        <w:t xml:space="preserve"> </w:t>
      </w:r>
      <w:r>
        <w:rPr>
          <w:iCs/>
          <w:i/>
        </w:rPr>
        <w:t xml:space="preserve">Thesis Proposal</w:t>
      </w:r>
      <w:r>
        <w:t xml:space="preserve"> </w:t>
      </w:r>
      <w:r>
        <w:t xml:space="preserve">will not only fulfill academic requirements but will actively contribute to Kazakhstan’s vision of becoming Central Asia’s leader in sustainable chemical engineering.</w:t>
      </w:r>
    </w:p>
    <w:bookmarkStart w:id="27" w:name="word-count-865"/>
    <w:p>
      <w:pPr>
        <w:pStyle w:val="Heading3"/>
      </w:pPr>
      <w:r>
        <w:rPr>
          <w:bCs/>
          <w:b/>
        </w:rPr>
        <w:t xml:space="preserve">Word Count: 865</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Practices in Kazakhstan Almaty</dc:title>
  <dc:creator/>
  <dc:language>en</dc:language>
  <cp:keywords/>
  <dcterms:created xsi:type="dcterms:W3CDTF">2025-12-13T09:50:37Z</dcterms:created>
  <dcterms:modified xsi:type="dcterms:W3CDTF">2025-12-13T09:50:37Z</dcterms:modified>
</cp:coreProperties>
</file>

<file path=docProps/custom.xml><?xml version="1.0" encoding="utf-8"?>
<Properties xmlns="http://schemas.openxmlformats.org/officeDocument/2006/custom-properties" xmlns:vt="http://schemas.openxmlformats.org/officeDocument/2006/docPropsVTypes"/>
</file>