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Waste</w:t>
      </w:r>
      <w:r>
        <w:t xml:space="preserve"> </w:t>
      </w:r>
      <w:r>
        <w:t xml:space="preserve">Treatment</w:t>
      </w:r>
      <w:r>
        <w:t xml:space="preserve"> </w:t>
      </w:r>
      <w:r>
        <w:t xml:space="preserve">Systems</w:t>
      </w:r>
      <w:r>
        <w:t xml:space="preserve"> </w:t>
      </w:r>
      <w:r>
        <w:t xml:space="preserve">for</w:t>
      </w:r>
      <w:r>
        <w:t xml:space="preserve"> </w:t>
      </w:r>
      <w:r>
        <w:t xml:space="preserve">Food</w:t>
      </w:r>
      <w:r>
        <w:t xml:space="preserve"> </w:t>
      </w:r>
      <w:r>
        <w:t xml:space="preserve">Processing</w:t>
      </w:r>
      <w:r>
        <w:t xml:space="preserve"> </w:t>
      </w:r>
      <w:r>
        <w:t xml:space="preserve">Industries</w:t>
      </w:r>
      <w:r>
        <w:t xml:space="preserve"> </w:t>
      </w:r>
      <w:r>
        <w:t xml:space="preserve">in</w:t>
      </w:r>
      <w:r>
        <w:t xml:space="preserve"> </w:t>
      </w:r>
      <w:r>
        <w:t xml:space="preserve">Myanmar</w:t>
      </w:r>
      <w:r>
        <w:t xml:space="preserve"> </w:t>
      </w:r>
      <w:r>
        <w:t xml:space="preserve">Yangon</w:t>
      </w:r>
    </w:p>
    <w:bookmarkStart w:id="28" w:name="Xa2b066d8a245934a86b40eb98484862e50237bb"/>
    <w:p>
      <w:pPr>
        <w:pStyle w:val="Heading1"/>
      </w:pPr>
      <w:r>
        <w:t xml:space="preserve">Thesis Proposal: Optimization of Waste Treatment Systems for Food Processing Industries in Myanmar Yangon</w:t>
      </w:r>
    </w:p>
    <w:bookmarkStart w:id="20" w:name="introduction"/>
    <w:p>
      <w:pPr>
        <w:pStyle w:val="Heading2"/>
      </w:pPr>
      <w:r>
        <w:t xml:space="preserve">1. Introduction</w:t>
      </w:r>
    </w:p>
    <w:p>
      <w:pPr>
        <w:pStyle w:val="FirstParagraph"/>
      </w:pPr>
      <w:r>
        <w:t xml:space="preserve">The rapid industrialization of</w:t>
      </w:r>
      <w:r>
        <w:t xml:space="preserve"> </w:t>
      </w:r>
      <w:r>
        <w:rPr>
          <w:bCs/>
          <w:b/>
        </w:rPr>
        <w:t xml:space="preserve">Myanmar Yangon</w:t>
      </w:r>
      <w:r>
        <w:t xml:space="preserve">, the economic hub of Myanmar, has intensified pressure on environmental sustainability, particularly within the burgeoning food processing sector. As a future</w:t>
      </w:r>
      <w:r>
        <w:t xml:space="preserve"> </w:t>
      </w:r>
      <w:r>
        <w:rPr>
          <w:bCs/>
          <w:b/>
        </w:rPr>
        <w:t xml:space="preserve">Chemical Engineer</w:t>
      </w:r>
      <w:r>
        <w:t xml:space="preserve">, I recognize that inefficient waste treatment systems represent a critical bottleneck in Yangon's industrial growth trajectory. This thesis proposal outlines a research project aimed at developing context-specific optimization strategies for wastewater treatment plants serving Yangon's food manufacturing clusters. With Myanmar's economy projected to grow at 6% annually (World Bank, 2023), and Yangon housing over 45% of the nation's industrial capacity, addressing this challenge is not merely academic—it is a necessity for sustainable development.</w:t>
      </w:r>
    </w:p>
    <w:bookmarkEnd w:id="20"/>
    <w:bookmarkStart w:id="21" w:name="problem-statement"/>
    <w:p>
      <w:pPr>
        <w:pStyle w:val="Heading2"/>
      </w:pPr>
      <w:r>
        <w:t xml:space="preserve">2. Problem Statement</w:t>
      </w:r>
    </w:p>
    <w:p>
      <w:pPr>
        <w:pStyle w:val="FirstParagraph"/>
      </w:pPr>
      <w:r>
        <w:t xml:space="preserve">Yangon's food processing industry generates approximately 150,000 m³/day of organic wastewater, yet only 38% undergoes treatment before discharge (Myanmar Environmental Conservation Department, 2023). Existing systems—often imported Western models—fail in Yangon's unique conditions: high seasonal monsoon variability (85% of annual rainfall occurs between May-October), inconsistent energy supply (average 16 hours/day outages), and limited technical expertise. This results in untreated effluent contaminating the Yangon River, degrading aquatic ecosystems, and violating Myanmar's National Environmental Policy. As a</w:t>
      </w:r>
      <w:r>
        <w:t xml:space="preserve"> </w:t>
      </w:r>
      <w:r>
        <w:rPr>
          <w:bCs/>
          <w:b/>
        </w:rPr>
        <w:t xml:space="preserve">Chemical Engineer</w:t>
      </w:r>
      <w:r>
        <w:t xml:space="preserve">, I must address these systemic failures through locally adaptable engineering solutions rather than merely importing foreign technology.</w:t>
      </w:r>
    </w:p>
    <w:bookmarkEnd w:id="21"/>
    <w:bookmarkStart w:id="22" w:name="literature-review-contextual-gap"/>
    <w:p>
      <w:pPr>
        <w:pStyle w:val="Heading2"/>
      </w:pPr>
      <w:r>
        <w:t xml:space="preserve">3. Literature Review (Contextual Gap)</w:t>
      </w:r>
    </w:p>
    <w:p>
      <w:pPr>
        <w:pStyle w:val="FirstParagraph"/>
      </w:pPr>
      <w:r>
        <w:t xml:space="preserve">While global research demonstrates effective membrane bioreactor (MBR) systems for food wastewater, studies from Thailand and India show 40-60% operational failure in tropical monsoon climates due to sedimentation issues during rainy seasons. Crucially, no research has been conducted on Yangon-specific parameters: high turbidity (250 NTU avg.), pH fluctuations (5.8-9.2), and unique organic load profiles from local ingredients like rice, cassava, and fish products. Myanmar's 2019 Industrial Waste Management Guidelines lack technical implementation frameworks for small-to-medium enterprises—precisely the sector employing 78% of Yangon's industrial workforce. This proposal directly bridges that gap.</w:t>
      </w:r>
    </w:p>
    <w:bookmarkEnd w:id="22"/>
    <w:bookmarkStart w:id="23" w:name="research-objectives"/>
    <w:p>
      <w:pPr>
        <w:pStyle w:val="Heading2"/>
      </w:pPr>
      <w:r>
        <w:t xml:space="preserve">4. Research Objectives</w:t>
      </w:r>
    </w:p>
    <w:p>
      <w:pPr>
        <w:numPr>
          <w:ilvl w:val="0"/>
          <w:numId w:val="1001"/>
        </w:numPr>
        <w:pStyle w:val="Compact"/>
      </w:pPr>
      <w:r>
        <w:rPr>
          <w:bCs/>
          <w:b/>
        </w:rPr>
        <w:t xml:space="preserve">Diagnose</w:t>
      </w:r>
      <w:r>
        <w:t xml:space="preserve">: Quantify seasonal variations in wastewater composition from 3 key Yangon food processing zones (e.g., Hlaing Tharyar, Bahan, and Shwepyitha industrial estates) through field sampling.</w:t>
      </w:r>
    </w:p>
    <w:p>
      <w:pPr>
        <w:numPr>
          <w:ilvl w:val="0"/>
          <w:numId w:val="1001"/>
        </w:numPr>
        <w:pStyle w:val="Compact"/>
      </w:pPr>
      <w:r>
        <w:rPr>
          <w:bCs/>
          <w:b/>
        </w:rPr>
        <w:t xml:space="preserve">Design</w:t>
      </w:r>
      <w:r>
        <w:t xml:space="preserve">: Develop a hybrid treatment system integrating locally available materials (e.g., bamboo charcoal filters for carbon removal, duckweed-based nutrient extraction) with minimal energy inputs.</w:t>
      </w:r>
    </w:p>
    <w:p>
      <w:pPr>
        <w:numPr>
          <w:ilvl w:val="0"/>
          <w:numId w:val="1001"/>
        </w:numPr>
        <w:pStyle w:val="Compact"/>
      </w:pPr>
      <w:r>
        <w:rPr>
          <w:bCs/>
          <w:b/>
        </w:rPr>
        <w:t xml:space="preserve">Validate</w:t>
      </w:r>
      <w:r>
        <w:t xml:space="preserve">: Model cost-effectiveness against current practices using Yangon-specific operational data (energy costs: $0.08/kWh vs. global avg. $0.12), considering Myanmar's 25% average technician training deficit.</w:t>
      </w:r>
    </w:p>
    <w:bookmarkEnd w:id="23"/>
    <w:bookmarkStart w:id="24" w:name="methodology"/>
    <w:p>
      <w:pPr>
        <w:pStyle w:val="Heading2"/>
      </w:pPr>
      <w:r>
        <w:t xml:space="preserve">5. Methodology</w:t>
      </w:r>
    </w:p>
    <w:p>
      <w:pPr>
        <w:pStyle w:val="FirstParagraph"/>
      </w:pPr>
      <w:r>
        <w:t xml:space="preserve">This interdisciplinary approach combines field engineering, process simulation, and stakeholder co-creation:</w:t>
      </w:r>
    </w:p>
    <w:p>
      <w:pPr>
        <w:numPr>
          <w:ilvl w:val="0"/>
          <w:numId w:val="1002"/>
        </w:numPr>
        <w:pStyle w:val="Compact"/>
      </w:pPr>
      <w:r>
        <w:rPr>
          <w:bCs/>
          <w:b/>
        </w:rPr>
        <w:t xml:space="preserve">Phase 1 (Months 1-4)</w:t>
      </w:r>
      <w:r>
        <w:t xml:space="preserve">: Collaborate with Yangon City Development Committee to deploy IoT sensors at 5 food factories for real-time pH/TSS monitoring during monsoon/lean seasons. Sample wastewater weekly (n=60) for organic loading (BOD/COD), heavy metals, and microbial analysis.</w:t>
      </w:r>
    </w:p>
    <w:p>
      <w:pPr>
        <w:numPr>
          <w:ilvl w:val="0"/>
          <w:numId w:val="1002"/>
        </w:numPr>
        <w:pStyle w:val="Compact"/>
      </w:pPr>
      <w:r>
        <w:rPr>
          <w:bCs/>
          <w:b/>
        </w:rPr>
        <w:t xml:space="preserve">Phase 2 (Months 5-8)</w:t>
      </w:r>
      <w:r>
        <w:t xml:space="preserve">: Utilize Aspen Plus software to simulate hybrid system performance under Yangon's climate data. Prioritize low-energy solutions: solar-powered aeration for anaerobic digestion, and constructed wetlands using locally sourced water hyacinth.</w:t>
      </w:r>
    </w:p>
    <w:p>
      <w:pPr>
        <w:numPr>
          <w:ilvl w:val="0"/>
          <w:numId w:val="1002"/>
        </w:numPr>
        <w:pStyle w:val="Compact"/>
      </w:pPr>
      <w:r>
        <w:rPr>
          <w:bCs/>
          <w:b/>
        </w:rPr>
        <w:t xml:space="preserve">Phase 3 (Months 9-12)</w:t>
      </w:r>
      <w:r>
        <w:t xml:space="preserve">: Pilot the optimized system at a pilot facility in Hlaing Tharyar Industrial Zone with Myanmar-based SMEs. Train local technicians through Yangon Technological University's industry partnership program.</w:t>
      </w:r>
    </w:p>
    <w:p>
      <w:pPr>
        <w:pStyle w:val="FirstParagraph"/>
      </w:pPr>
      <w:r>
        <w:t xml:space="preserve">The methodology is designed to produce a replicable framework for</w:t>
      </w:r>
      <w:r>
        <w:t xml:space="preserve"> </w:t>
      </w:r>
      <w:r>
        <w:rPr>
          <w:bCs/>
          <w:b/>
        </w:rPr>
        <w:t xml:space="preserve">Chemical Engineer</w:t>
      </w:r>
      <w:r>
        <w:t xml:space="preserve">s operating within Myanmar's resource constraints—avoiding reliance on imported equipment that faces 6-12 month import delays in Yangon port.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Myanmar Yangon</w:t>
      </w:r>
      <w:r>
        <w:t xml:space="preserve">:</w:t>
      </w:r>
    </w:p>
    <w:p>
      <w:pPr>
        <w:numPr>
          <w:ilvl w:val="0"/>
          <w:numId w:val="1003"/>
        </w:numPr>
        <w:pStyle w:val="Compact"/>
      </w:pPr>
      <w:r>
        <w:rPr>
          <w:bCs/>
          <w:b/>
        </w:rPr>
        <w:t xml:space="preserve">A locally adapted treatment blueprint</w:t>
      </w:r>
      <w:r>
        <w:t xml:space="preserve">: Reducing operational costs by 35% (vs. conventional systems) through solar integration and bamboo-based filtration, directly addressing Myanmar's energy poverty challenges.</w:t>
      </w:r>
    </w:p>
    <w:p>
      <w:pPr>
        <w:numPr>
          <w:ilvl w:val="0"/>
          <w:numId w:val="1003"/>
        </w:numPr>
        <w:pStyle w:val="Compact"/>
      </w:pPr>
      <w:r>
        <w:rPr>
          <w:bCs/>
          <w:b/>
        </w:rPr>
        <w:t xml:space="preserve">Technical capacity building</w:t>
      </w:r>
      <w:r>
        <w:t xml:space="preserve">: Training 15+ Yangon-based technicians in maintenance protocols—addressing the national shortage of engineering talent in environmental sectors (only 28% of Myanmar's chemical engineers work in sustainability roles).</w:t>
      </w:r>
    </w:p>
    <w:p>
      <w:pPr>
        <w:numPr>
          <w:ilvl w:val="0"/>
          <w:numId w:val="1003"/>
        </w:numPr>
        <w:pStyle w:val="Compact"/>
      </w:pPr>
      <w:r>
        <w:rPr>
          <w:bCs/>
          <w:b/>
        </w:rPr>
        <w:t xml:space="preserve">Policy recommendations</w:t>
      </w:r>
      <w:r>
        <w:t xml:space="preserve">: Evidence-based guidelines for Myanmar's Ministry of Environmental Conservation to revise industrial wastewater standards, incorporating Yangon-specific seasonal parameters.</w:t>
      </w:r>
    </w:p>
    <w:p>
      <w:pPr>
        <w:pStyle w:val="FirstParagraph"/>
      </w:pPr>
      <w:r>
        <w:t xml:space="preserve">As a future</w:t>
      </w:r>
      <w:r>
        <w:t xml:space="preserve"> </w:t>
      </w:r>
      <w:r>
        <w:rPr>
          <w:bCs/>
          <w:b/>
        </w:rPr>
        <w:t xml:space="preserve">Chemical Engineer</w:t>
      </w:r>
      <w:r>
        <w:t xml:space="preserve"> </w:t>
      </w:r>
      <w:r>
        <w:t xml:space="preserve">serving Myanmar, this work transcends academic inquiry. It directly supports UN Sustainable Development Goal 6 (clean water) and Myanmar's National Strategic Plan 2018-2030 by transforming Yangon from an environmental liability to a model of circular economy innovation. The proposed system could scale to serve over 5,000 factories in Yangon alone—preventing ~12 million tons of annual river contamination.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Field Data Collection &amp; Analysis</w:t>
            </w:r>
          </w:p>
        </w:tc>
        <w:tc>
          <w:tcPr>
            <w:gridSpan w:val="3"/>
          </w:tcPr>
          <w:p>
            <w:pPr>
              <w:pStyle w:val="Compact"/>
              <w:jc w:val="left"/>
            </w:pPr>
            <w:r>
              <w:t xml:space="preserve">✓</w:t>
            </w:r>
          </w:p>
        </w:tc>
        <w:tc>
          <w:tcPr/>
          <w:p>
            <w:pPr>
              <w:pStyle w:val="Compact"/>
            </w:pPr>
          </w:p>
        </w:tc>
      </w:tr>
      <w:tr>
        <w:tc>
          <w:tcPr/>
          <w:p>
            <w:pPr>
              <w:pStyle w:val="Compact"/>
              <w:jc w:val="left"/>
            </w:pPr>
            <w:r>
              <w:t xml:space="preserve">Process Simulation &amp; Design</w:t>
            </w:r>
          </w:p>
        </w:tc>
        <w:tc>
          <w:tcPr/>
          <w:p>
            <w:pPr>
              <w:pStyle w:val="Compact"/>
            </w:pPr>
          </w:p>
        </w:tc>
        <w:tc>
          <w:tcPr>
            <w:gridSpan w:val="2"/>
          </w:tcPr>
          <w:p>
            <w:pPr>
              <w:pStyle w:val="Compact"/>
              <w:jc w:val="left"/>
            </w:pPr>
            <w:r>
              <w:t xml:space="preserve">✓</w:t>
            </w:r>
          </w:p>
        </w:tc>
        <w:tc>
          <w:tcPr>
            <w:vMerge w:val="restart"/>
          </w:tcPr>
          <w:p>
            <w:pPr>
              <w:pStyle w:val="Compact"/>
              <w:jc w:val="left"/>
            </w:pPr>
            <w:r>
              <w:t xml:space="preserve">Pilot Implementation (Hlaing Tharyar)</w:t>
            </w:r>
          </w:p>
        </w:tc>
      </w:tr>
      <w:tr>
        <w:tc>
          <w:tcPr/>
          <w:p>
            <w:pPr>
              <w:pStyle w:val="Compact"/>
              <w:jc w:val="left"/>
            </w:pPr>
            <w:r>
              <w:t xml:space="preserve">Stakeholder Engagement</w:t>
            </w:r>
          </w:p>
        </w:tc>
        <w:tc>
          <w:tcPr>
            <w:gridSpan w:val="3"/>
          </w:tcPr>
          <w:p>
            <w:pPr>
              <w:pStyle w:val="Compact"/>
              <w:jc w:val="left"/>
            </w:pPr>
            <w:r>
              <w:t xml:space="preserve">✓</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environmental and economic stakes for Yangon's industrial future cannot be overstated. This Thesis Proposal presents a targeted, actionable roadmap for a</w:t>
      </w:r>
      <w:r>
        <w:t xml:space="preserve"> </w:t>
      </w:r>
      <w:r>
        <w:rPr>
          <w:bCs/>
          <w:b/>
        </w:rPr>
        <w:t xml:space="preserve">Chemical Engineer</w:t>
      </w:r>
      <w:r>
        <w:t xml:space="preserve"> </w:t>
      </w:r>
      <w:r>
        <w:t xml:space="preserve">to drive tangible change within Myanmar Yangon's operational landscape. By centering our research on Yangon's hydrological realities, socioeconomic constraints, and local resource availability—not imported paradigms—we ensure that this work will not remain theoretical but become an implementable solution. As Myanmar accelerates its industrialization under the "Myanmar Vision 2030" framework, this project positions the next generation of chemical engineers to be pioneers in sustainable development—proving that environmental stewardship and economic growth are intrinsically linked. I am committed to delivering this research with rigorous engineering methodology while maintaining deep contextual respect for Yangon's unique challenges and opportunities.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Waste Treatment Systems for Food Processing Industries in Myanmar Yangon</dc:title>
  <dc:creator/>
  <dc:language>en</dc:language>
  <cp:keywords/>
  <dcterms:created xsi:type="dcterms:W3CDTF">2026-07-15T00:09:45Z</dcterms:created>
  <dcterms:modified xsi:type="dcterms:W3CDTF">2026-07-15T00:09:45Z</dcterms:modified>
</cp:coreProperties>
</file>

<file path=docProps/custom.xml><?xml version="1.0" encoding="utf-8"?>
<Properties xmlns="http://schemas.openxmlformats.org/officeDocument/2006/custom-properties" xmlns:vt="http://schemas.openxmlformats.org/officeDocument/2006/docPropsVTypes"/>
</file>