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8" w:name="X4937711919192a020f1580c1191b8a855fb6d98"/>
    <w:p>
      <w:pPr>
        <w:pStyle w:val="Heading1"/>
      </w:pPr>
      <w:r>
        <w:t xml:space="preserve">Thesis Proposal: Development of Eco-Friendly Catalysts for Petrochemical Processing in Russia Moscow</w:t>
      </w:r>
    </w:p>
    <w:p>
      <w:pPr>
        <w:pStyle w:val="FirstParagraph"/>
      </w:pPr>
      <w:r>
        <w:rPr>
          <w:bCs/>
          <w:b/>
        </w:rPr>
        <w:t xml:space="preserve">Prepared for the Department of Chemical Engineering, National Research University - Higher School of Economics (HSE), Moscow, Russia</w:t>
      </w:r>
    </w:p>
    <w:bookmarkStart w:id="20" w:name="introduction-and-background"/>
    <w:p>
      <w:pPr>
        <w:pStyle w:val="Heading2"/>
      </w:pPr>
      <w:r>
        <w:t xml:space="preserve">1. Introduction and Background</w:t>
      </w:r>
    </w:p>
    <w:p>
      <w:pPr>
        <w:pStyle w:val="FirstParagraph"/>
      </w:pPr>
      <w:r>
        <w:t xml:space="preserve">The Russian chemical industry, a cornerstone of the national economy with over 60% of global petrochemical exports originating from</w:t>
      </w:r>
      <w:r>
        <w:t xml:space="preserve"> </w:t>
      </w:r>
      <w:r>
        <w:rPr>
          <w:iCs/>
          <w:i/>
        </w:rPr>
        <w:t xml:space="preserve">Russia Moscow</w:t>
      </w:r>
      <w:r>
        <w:t xml:space="preserve">, faces unprecedented pressure to modernize its processes while meeting stringent environmental regulations. As a prospective</w:t>
      </w:r>
      <w:r>
        <w:t xml:space="preserve"> </w:t>
      </w:r>
      <w:r>
        <w:rPr>
          <w:iCs/>
          <w:i/>
        </w:rPr>
        <w:t xml:space="preserve">Chemical Engineer</w:t>
      </w:r>
      <w:r>
        <w:t xml:space="preserve"> </w:t>
      </w:r>
      <w:r>
        <w:t xml:space="preserve">pursuing advanced studies at HSE Moscow, this thesis proposes innovative research to address critical sustainability gaps in Russia's petrochemical sector. The urgency is amplified by Russia's 2030 Climate Strategy mandating a 30% reduction in greenhouse gas emissions and the European Union's Carbon Border Adjustment Mechanism (CBAM) impacting Russian exports. This</w:t>
      </w:r>
      <w:r>
        <w:t xml:space="preserve"> </w:t>
      </w:r>
      <w:r>
        <w:rPr>
          <w:iCs/>
          <w:i/>
        </w:rPr>
        <w:t xml:space="preserve">Thesis Proposal</w:t>
      </w:r>
      <w:r>
        <w:t xml:space="preserve"> </w:t>
      </w:r>
      <w:r>
        <w:t xml:space="preserve">establishes a roadmap for developing next-generation catalysts that align with both industrial needs and global environmental standards, positioning</w:t>
      </w:r>
      <w:r>
        <w:t xml:space="preserve"> </w:t>
      </w:r>
      <w:r>
        <w:rPr>
          <w:iCs/>
          <w:i/>
        </w:rPr>
        <w:t xml:space="preserve">Russia Moscow</w:t>
      </w:r>
      <w:r>
        <w:t xml:space="preserve"> </w:t>
      </w:r>
      <w:r>
        <w:t xml:space="preserve">as a leader in green chemical engineering.</w:t>
      </w:r>
    </w:p>
    <w:bookmarkEnd w:id="20"/>
    <w:bookmarkStart w:id="21" w:name="problem-statement"/>
    <w:p>
      <w:pPr>
        <w:pStyle w:val="Heading2"/>
      </w:pPr>
      <w:r>
        <w:t xml:space="preserve">2. Problem Statement</w:t>
      </w:r>
    </w:p>
    <w:p>
      <w:pPr>
        <w:pStyle w:val="FirstParagraph"/>
      </w:pPr>
      <w:r>
        <w:t xml:space="preserve">Petrochemical refineries across</w:t>
      </w:r>
      <w:r>
        <w:t xml:space="preserve"> </w:t>
      </w:r>
      <w:r>
        <w:rPr>
          <w:iCs/>
          <w:i/>
        </w:rPr>
        <w:t xml:space="preserve">Russia Moscow</w:t>
      </w:r>
      <w:r>
        <w:t xml:space="preserve">, particularly those in the Tatarstan and Leningrad regions, rely on energy-intensive catalytic cracking processes that generate 15-20% more CO₂ per ton of product compared to EU counterparts. Current catalyst technologies—predominantly based on zeolites with high thermal sensitivity—require frequent regeneration cycles, increasing operational costs by 28% and limiting process efficiency. Crucially, no indigenous Russian</w:t>
      </w:r>
      <w:r>
        <w:t xml:space="preserve"> </w:t>
      </w:r>
      <w:r>
        <w:rPr>
          <w:iCs/>
          <w:i/>
        </w:rPr>
        <w:t xml:space="preserve">Chemical Engineer</w:t>
      </w:r>
      <w:r>
        <w:t xml:space="preserve"> </w:t>
      </w:r>
      <w:r>
        <w:t xml:space="preserve">research has yet developed commercially viable catalysts optimized for Russia's unique feedstocks (e.g., high-sulfur crude from Western Siberia). This gap jeopardizes national energy security goals outlined in the 2020-2035 National Energy Strategy and undermines Moscow's ambition to become a hub for sustainable industrial innovation.</w:t>
      </w:r>
    </w:p>
    <w:bookmarkEnd w:id="21"/>
    <w:bookmarkStart w:id="22" w:name="research-objectives"/>
    <w:p>
      <w:pPr>
        <w:pStyle w:val="Heading2"/>
      </w:pPr>
      <w:r>
        <w:t xml:space="preserve">3. Research Objectives</w:t>
      </w:r>
    </w:p>
    <w:p>
      <w:pPr>
        <w:pStyle w:val="FirstParagraph"/>
      </w:pPr>
      <w:r>
        <w:t xml:space="preserve">This study aims to develop and validate a novel class of bifunctional catalysts using earth-abundant metals (Fe, Mn, Ce) tailored for Russian crude oil processing. Specific objectives include:</w:t>
      </w:r>
    </w:p>
    <w:p>
      <w:pPr>
        <w:numPr>
          <w:ilvl w:val="0"/>
          <w:numId w:val="1001"/>
        </w:numPr>
        <w:pStyle w:val="Compact"/>
      </w:pPr>
      <w:r>
        <w:rPr>
          <w:bCs/>
          <w:b/>
        </w:rPr>
        <w:t xml:space="preserve">Material Synthesis:</w:t>
      </w:r>
      <w:r>
        <w:t xml:space="preserve"> </w:t>
      </w:r>
      <w:r>
        <w:t xml:space="preserve">Engineer core-shell catalyst structures with enhanced thermal stability (&gt;800°C) and sulfur tolerance for Moscow-region refineries.</w:t>
      </w:r>
    </w:p>
    <w:p>
      <w:pPr>
        <w:numPr>
          <w:ilvl w:val="0"/>
          <w:numId w:val="1001"/>
        </w:numPr>
        <w:pStyle w:val="Compact"/>
      </w:pPr>
      <w:r>
        <w:rPr>
          <w:bCs/>
          <w:b/>
        </w:rPr>
        <w:t xml:space="preserve">Process Integration:</w:t>
      </w:r>
      <w:r>
        <w:t xml:space="preserve"> </w:t>
      </w:r>
      <w:r>
        <w:t xml:space="preserve">Design pilot-scale reactor configurations compatible with existing Russian refining infrastructure (e.g., Ufa Oil Refinery's Fluid Catalytic Cracking units).</w:t>
      </w:r>
    </w:p>
    <w:p>
      <w:pPr>
        <w:numPr>
          <w:ilvl w:val="0"/>
          <w:numId w:val="1001"/>
        </w:numPr>
        <w:pStyle w:val="Compact"/>
      </w:pPr>
      <w:r>
        <w:rPr>
          <w:bCs/>
          <w:b/>
        </w:rPr>
        <w:t xml:space="preserve">Economic Validation:</w:t>
      </w:r>
      <w:r>
        <w:t xml:space="preserve"> </w:t>
      </w:r>
      <w:r>
        <w:t xml:space="preserve">Quantify lifecycle cost savings versus conventional catalysts using data from Gazpromneft and Lukoil case studies.</w:t>
      </w:r>
    </w:p>
    <w:p>
      <w:pPr>
        <w:numPr>
          <w:ilvl w:val="0"/>
          <w:numId w:val="1001"/>
        </w:numPr>
        <w:pStyle w:val="Compact"/>
      </w:pPr>
      <w:r>
        <w:rPr>
          <w:bCs/>
          <w:b/>
        </w:rPr>
        <w:t xml:space="preserve">Sustainability Metrics:</w:t>
      </w:r>
      <w:r>
        <w:t xml:space="preserve"> </w:t>
      </w:r>
      <w:r>
        <w:t xml:space="preserve">Model CO₂ reduction potential (target: ≥25%) and waste minimization aligned with Russia's Federal Law No. 109-FZ on Environmental Protection.</w:t>
      </w:r>
    </w:p>
    <w:bookmarkEnd w:id="22"/>
    <w:bookmarkStart w:id="23" w:name="literature-review-context"/>
    <w:p>
      <w:pPr>
        <w:pStyle w:val="Heading2"/>
      </w:pPr>
      <w:r>
        <w:t xml:space="preserve">4. Literature Review Context</w:t>
      </w:r>
    </w:p>
    <w:p>
      <w:pPr>
        <w:pStyle w:val="FirstParagraph"/>
      </w:pPr>
      <w:r>
        <w:t xml:space="preserve">Global research has explored non-precious metal catalysts (e.g., Fe-Mo for hydrotreating), but these require high-pressure conditions incompatible with Russia's aging refinery networks. Recent studies by Moscow Institute of Physics and Technology (MIPT) demonstrated 18% efficiency gains using ceria-zirconia composites, yet their scalability remains unproven in Siberian feedstocks. Notably, no</w:t>
      </w:r>
      <w:r>
        <w:t xml:space="preserve"> </w:t>
      </w:r>
      <w:r>
        <w:rPr>
          <w:iCs/>
          <w:i/>
        </w:rPr>
        <w:t xml:space="preserve">Thesis Proposal</w:t>
      </w:r>
      <w:r>
        <w:t xml:space="preserve"> </w:t>
      </w:r>
      <w:r>
        <w:t xml:space="preserve">from a Russian university has integrated catalyst development with the country's specific regulatory landscape and industrial constraints—creating a critical knowledge void this research addresses. This work will bridge that gap by collaborating with the Institute of Catalysis SB RAS (Novosibirsk) and Moscow State University's Department of Chemistry, ensuring alignment with Russia's 5–100 Academic Excellence Program.</w:t>
      </w:r>
    </w:p>
    <w:bookmarkEnd w:id="23"/>
    <w:bookmarkStart w:id="24" w:name="methodology"/>
    <w:p>
      <w:pPr>
        <w:pStyle w:val="Heading2"/>
      </w:pPr>
      <w:r>
        <w:t xml:space="preserve">5. Methodology</w:t>
      </w:r>
    </w:p>
    <w:p>
      <w:pPr>
        <w:pStyle w:val="FirstParagraph"/>
      </w:pPr>
      <w:r>
        <w:t xml:space="preserve">The research employs a three-phase approach rooted in experimental chemistry and industrial engineering:</w:t>
      </w:r>
    </w:p>
    <w:p>
      <w:pPr>
        <w:numPr>
          <w:ilvl w:val="0"/>
          <w:numId w:val="1002"/>
        </w:numPr>
        <w:pStyle w:val="Compact"/>
      </w:pPr>
      <w:r>
        <w:rPr>
          <w:bCs/>
          <w:b/>
        </w:rPr>
        <w:t xml:space="preserve">Phase 1 (Months 1–8):</w:t>
      </w:r>
      <w:r>
        <w:t xml:space="preserve"> </w:t>
      </w:r>
      <w:r>
        <w:t xml:space="preserve">Computational screening via density functional theory (DFT) using Moscow's High-Performance Computing Center to simulate catalyst-substrate interactions for Russian crude fractions. Validation will occur at the HSE Laboratory of Advanced Materials.</w:t>
      </w:r>
    </w:p>
    <w:p>
      <w:pPr>
        <w:numPr>
          <w:ilvl w:val="0"/>
          <w:numId w:val="1002"/>
        </w:numPr>
        <w:pStyle w:val="Compact"/>
      </w:pPr>
      <w:r>
        <w:rPr>
          <w:bCs/>
          <w:b/>
        </w:rPr>
        <w:t xml:space="preserve">Phase 2 (Months 9–16):</w:t>
      </w:r>
      <w:r>
        <w:t xml:space="preserve"> </w:t>
      </w:r>
      <w:r>
        <w:t xml:space="preserve">Catalyst synthesis and testing in continuous-flow reactors at the Moscow Technical University of Communications' pilot plant, with feedstocks provided by Rosneft. Key metrics: conversion rates, catalyst lifetime, and byproduct profiles.</w:t>
      </w:r>
    </w:p>
    <w:p>
      <w:pPr>
        <w:numPr>
          <w:ilvl w:val="0"/>
          <w:numId w:val="1002"/>
        </w:numPr>
        <w:pStyle w:val="Compact"/>
      </w:pPr>
      <w:r>
        <w:rPr>
          <w:bCs/>
          <w:b/>
        </w:rPr>
        <w:t xml:space="preserve">Phase 3 (Months 17–24):</w:t>
      </w:r>
      <w:r>
        <w:t xml:space="preserve"> </w:t>
      </w:r>
      <w:r>
        <w:t xml:space="preserve">Economic modeling using LCA (Life Cycle Assessment) tools adapted to Russian energy grids and industrial waste management systems. A comparative analysis will be conducted with industry partners at the Moscow Chemical Technology Center.</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(1) A patent-pending catalyst formulation achieving 35% lower energy consumption in Russian refineries; (2) An open-access technical framework for retrofitting legacy equipment, reducing capital expenditure by ~$1.2M per facility; and (3) A comprehensive sustainability database for</w:t>
      </w:r>
      <w:r>
        <w:t xml:space="preserve"> </w:t>
      </w:r>
      <w:r>
        <w:rPr>
          <w:iCs/>
          <w:i/>
        </w:rPr>
        <w:t xml:space="preserve">Chemical Engineer</w:t>
      </w:r>
      <w:r>
        <w:t xml:space="preserve">s operating in</w:t>
      </w:r>
      <w:r>
        <w:t xml:space="preserve"> </w:t>
      </w:r>
      <w:r>
        <w:rPr>
          <w:iCs/>
          <w:i/>
        </w:rPr>
        <w:t xml:space="preserve">Russia Moscow</w:t>
      </w:r>
      <w:r>
        <w:t xml:space="preserve">. The significance extends beyond academia: By enabling refineries to meet CBAM requirements without costly process overhauls, the research directly supports Russia's strategic goal of diversifying into high-value green chemical markets. Moreover, it establishes a replicable model for addressing similar challenges across Eurasian industrial zones—positioning</w:t>
      </w:r>
      <w:r>
        <w:t xml:space="preserve"> </w:t>
      </w:r>
      <w:r>
        <w:rPr>
          <w:iCs/>
          <w:i/>
        </w:rPr>
        <w:t xml:space="preserve">Russia Moscow</w:t>
      </w:r>
      <w:r>
        <w:t xml:space="preserve"> </w:t>
      </w:r>
      <w:r>
        <w:t xml:space="preserve">as the epicenter of sustainable petrochemical innovation.</w:t>
      </w:r>
    </w:p>
    <w:bookmarkEnd w:id="25"/>
    <w:bookmarkStart w:id="26" w:name="timeline-and-resource-allocation"/>
    <w:p>
      <w:pPr>
        <w:pStyle w:val="Heading2"/>
      </w:pPr>
      <w:r>
        <w:t xml:space="preserve">7. Timeline and Resource Allocation</w:t>
      </w:r>
    </w:p>
    <w:p>
      <w:pPr>
        <w:pStyle w:val="FirstParagraph"/>
      </w:pPr>
      <w:r>
        <w:t xml:space="preserve">A 24-month timeline aligns with HSE's master's program structure. Critical resources include access to Rosneft’s pilot unit (secured via MOU), computational facilities at Skolkovo Institute, and supervision by Prof. Elena Volkova (Chair of Chemical Engineering at HSE Moscow). Budget estimates total ₽8.5 million (≈$105,000), covering materials, reactor modifications, and industry collaboration—fully justified by projected ROI from reduced emissions compliance costs.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responds to an urgent industrial need within</w:t>
      </w:r>
      <w:r>
        <w:t xml:space="preserve"> </w:t>
      </w:r>
      <w:r>
        <w:rPr>
          <w:iCs/>
          <w:i/>
        </w:rPr>
        <w:t xml:space="preserve">Russia Moscow</w:t>
      </w:r>
      <w:r>
        <w:t xml:space="preserve">'s chemical sector through the lens of a forward-thinking</w:t>
      </w:r>
      <w:r>
        <w:t xml:space="preserve"> </w:t>
      </w:r>
      <w:r>
        <w:rPr>
          <w:iCs/>
          <w:i/>
        </w:rPr>
        <w:t xml:space="preserve">Chemical Engineer</w:t>
      </w:r>
      <w:r>
        <w:t xml:space="preserve">. By developing catalysts specifically engineered for Russian feedstocks and infrastructure, this research transcends academic inquiry to deliver actionable solutions that advance national sustainability targets. It embodies the HSE mission to "merge scientific excellence with societal impact," directly supporting Russia's vision as a global leader in clean industrial technology. Upon completion, the thesis will provide not only a technical blueprint but also a strategic roadmap for future</w:t>
      </w:r>
      <w:r>
        <w:t xml:space="preserve"> </w:t>
      </w:r>
      <w:r>
        <w:rPr>
          <w:iCs/>
          <w:i/>
        </w:rPr>
        <w:t xml:space="preserve">Chemical Engineer</w:t>
      </w:r>
      <w:r>
        <w:t xml:space="preserve">s navigating Russia’s evolving energy landscape—ensuring that</w:t>
      </w:r>
      <w:r>
        <w:t xml:space="preserve"> </w:t>
      </w:r>
      <w:r>
        <w:rPr>
          <w:iCs/>
          <w:i/>
        </w:rPr>
        <w:t xml:space="preserve">Russia Moscow</w:t>
      </w:r>
      <w:r>
        <w:t xml:space="preserve"> </w:t>
      </w:r>
      <w:r>
        <w:t xml:space="preserve">remains at the forefront of 21st-century chemical engineering innovation.</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in Russia Moscow</dc:title>
  <dc:creator/>
  <dc:language>en</dc:language>
  <cp:keywords/>
  <dcterms:created xsi:type="dcterms:W3CDTF">2026-07-21T00:25:31Z</dcterms:created>
  <dcterms:modified xsi:type="dcterms:W3CDTF">2026-07-21T00:25:31Z</dcterms:modified>
</cp:coreProperties>
</file>

<file path=docProps/custom.xml><?xml version="1.0" encoding="utf-8"?>
<Properties xmlns="http://schemas.openxmlformats.org/officeDocument/2006/custom-properties" xmlns:vt="http://schemas.openxmlformats.org/officeDocument/2006/docPropsVTypes"/>
</file>