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Assessment</w:t>
      </w:r>
      <w:r>
        <w:t xml:space="preserve"> </w:t>
      </w:r>
      <w:r>
        <w:t xml:space="preserve">in</w:t>
      </w:r>
      <w:r>
        <w:t xml:space="preserve"> </w:t>
      </w:r>
      <w:r>
        <w:t xml:space="preserve">Colombia</w:t>
      </w:r>
      <w:r>
        <w:t xml:space="preserve"> </w:t>
      </w:r>
      <w:r>
        <w:t xml:space="preserve">Bogotá</w:t>
      </w:r>
    </w:p>
    <w:bookmarkStart w:id="26" w:name="X443b14465a79c4594ff9c496de02d49095e655c"/>
    <w:p>
      <w:pPr>
        <w:pStyle w:val="Heading1"/>
      </w:pPr>
      <w:r>
        <w:t xml:space="preserve">Thesis Proposal: Advancing Environmental Analytical Chemistry for Sustainable Water Management in Colombia Bogotá</w:t>
      </w:r>
    </w:p>
    <w:bookmarkStart w:id="20" w:name="abstract-approx.-150-words"/>
    <w:p>
      <w:pPr>
        <w:pStyle w:val="Heading2"/>
      </w:pPr>
      <w:r>
        <w:t xml:space="preserve">Abstract (Approx. 150 words)</w:t>
      </w:r>
    </w:p>
    <w:p>
      <w:pPr>
        <w:pStyle w:val="FirstParagraph"/>
      </w:pPr>
      <w:r>
        <w:t xml:space="preserve">This Thesis Proposal outlines a critical research project focused on the role of the Chemist in addressing water quality challenges within Colombia Bogotá. Rapid urbanization, industrial expansion, and inadequate wastewater management have led to significant contamination of aquatic ecosystems in the capital city. This study proposes a comprehensive analytical framework to assess heavy metal pollutants (lead, cadmium, mercury) and organic contaminants (phthalates, pesticides) in key waterways such as the San Juan River basin and Bogotá River tributaries. The Chemist will employ advanced spectroscopic and chromatographic techniques to generate actionable data for municipal environmental agencies. This research directly responds to Colombia's National Environmental Policy (2019) and Bogotá's Sustainable City Strategy, aiming to provide evidence-based solutions for public health protection and ecological restoration in one of Latin America’s most densely populated urban centers.</w:t>
      </w:r>
    </w:p>
    <w:bookmarkEnd w:id="20"/>
    <w:bookmarkStart w:id="21" w:name="X587e8477bf5a783aeb5ffff7af958ee576fbcc2"/>
    <w:p>
      <w:pPr>
        <w:pStyle w:val="Heading2"/>
      </w:pPr>
      <w:r>
        <w:t xml:space="preserve">1. Introduction: The Imperative for Chemical Expertise in Colombia Bogotá (Approx. 200 words)</w:t>
      </w:r>
    </w:p>
    <w:p>
      <w:pPr>
        <w:pStyle w:val="FirstParagraph"/>
      </w:pPr>
      <w:r>
        <w:t xml:space="preserve">Colombia Bogotá, as the nation's political, economic, and educational hub, faces acute environmental pressures due to its population exceeding 8 million inhabitants and rapid urban sprawl. The city’s complex hydrology—comprising the Andean highlands and interconnected river systems like the Tunjuelo and San Juan—renders it exceptionally vulnerable to pollution from informal settlements (pueblos jóvenes), industrial zones (e.g., Bosa, Soacha), and agricultural runoff. Current monitoring by Bogotá’s Environmental Authority (CMB) reveals alarming levels of toxic substances in water sources critical for 60% of the metropolitan population. This crisis demands specialized expertise: the Chemist is not merely a technician but a pivotal decision-maker whose analytical rigor transforms data into policy action.</w:t>
      </w:r>
    </w:p>
    <w:p>
      <w:pPr>
        <w:pStyle w:val="BodyText"/>
      </w:pPr>
      <w:r>
        <w:t xml:space="preserve">Existing studies (IDEAM, 2021; UNDP Colombia, 2022) identify gaps in localized contamination mapping and real-time monitoring capabilities. This Thesis Proposal positions the Chemist as the central agent for bridging scientific analysis with urban governance. In Colombia Bogotá’s context, where environmental regulations often lack implementation due to resource constraints, the Chemist’s role becomes indispensable for evidence-based interventions. The research will directly support Bogotá Mayor Claudia López’s “Bogotá 2050” sustainability agenda, which prioritizes water security as a non-negotiable public good. Without dedicated chemical assessment, Colombia’s commitment to Sustainable Development Goal 6 (Clean Water) remains theoretical in its most densely populated urban ecosystem.</w:t>
      </w:r>
    </w:p>
    <w:bookmarkEnd w:id="21"/>
    <w:bookmarkStart w:id="22" w:name="research-objectives-approx.-150-words"/>
    <w:p>
      <w:pPr>
        <w:pStyle w:val="Heading2"/>
      </w:pPr>
      <w:r>
        <w:t xml:space="preserve">2. Research Objectives (Approx. 150 words)</w:t>
      </w:r>
    </w:p>
    <w:p>
      <w:pPr>
        <w:pStyle w:val="FirstParagraph"/>
      </w:pPr>
      <w:r>
        <w:rPr>
          <w:bCs/>
          <w:b/>
        </w:rPr>
        <w:t xml:space="preserve">Primary Objective:</w:t>
      </w:r>
      <w:r>
        <w:t xml:space="preserve"> </w:t>
      </w:r>
      <w:r>
        <w:t xml:space="preserve">To develop a standardized analytical protocol for multi-contaminant profiling in Bogotá’s water bodies, utilizing field sampling and laboratory analysis led by a Chemist.</w:t>
      </w:r>
    </w:p>
    <w:p>
      <w:pPr>
        <w:pStyle w:val="BodyText"/>
      </w:pPr>
      <w:r>
        <w:rPr>
          <w:bCs/>
          <w:b/>
        </w:rPr>
        <w:t xml:space="preserve">Secondary Objectives:</w:t>
      </w:r>
    </w:p>
    <w:p>
      <w:pPr>
        <w:numPr>
          <w:ilvl w:val="0"/>
          <w:numId w:val="1001"/>
        </w:numPr>
        <w:pStyle w:val="Compact"/>
      </w:pPr>
      <w:r>
        <w:t xml:space="preserve">Evaluate spatial-temporal trends of heavy metals and organic pollutants across 12 high-risk sampling sites in Colombia Bogotá (e.g., Suba, Usme, Kennedy).</w:t>
      </w:r>
    </w:p>
    <w:p>
      <w:pPr>
        <w:numPr>
          <w:ilvl w:val="0"/>
          <w:numId w:val="1001"/>
        </w:numPr>
        <w:pStyle w:val="Compact"/>
      </w:pPr>
      <w:r>
        <w:t xml:space="preserve">Correlate contamination levels with specific anthropogenic sources (industrial effluents, domestic sewage, agricultural pesticides) through chemical fingerprinting.</w:t>
      </w:r>
    </w:p>
    <w:p>
      <w:pPr>
        <w:numPr>
          <w:ilvl w:val="0"/>
          <w:numId w:val="1001"/>
        </w:numPr>
        <w:pStyle w:val="Compact"/>
      </w:pPr>
      <w:r>
        <w:t xml:space="preserve">Quantify health risks for vulnerable populations near contaminated zones using WHO water quality guidelines adapted for tropical urban environments.</w:t>
      </w:r>
    </w:p>
    <w:bookmarkEnd w:id="22"/>
    <w:bookmarkStart w:id="23" w:name="X9d62382dceae94b1a6ac30ca54796bc496576a3"/>
    <w:p>
      <w:pPr>
        <w:pStyle w:val="Heading2"/>
      </w:pPr>
      <w:r>
        <w:t xml:space="preserve">3. Methodology: The Chemist’s Analytical Framework (Approx. 250 words)</w:t>
      </w:r>
    </w:p>
    <w:p>
      <w:pPr>
        <w:pStyle w:val="FirstParagraph"/>
      </w:pPr>
      <w:r>
        <w:t xml:space="preserve">This research will be executed under the direct oversight of a qualified Chemist, leveraging advanced laboratory infrastructure at the University of Los Andes’ Environmental Chemistry Lab in Colombia Bogotá. The methodology integrates fieldwork and instrumental analysis:</w:t>
      </w:r>
    </w:p>
    <w:p>
      <w:pPr>
        <w:numPr>
          <w:ilvl w:val="0"/>
          <w:numId w:val="1002"/>
        </w:numPr>
        <w:pStyle w:val="Compact"/>
      </w:pPr>
      <w:r>
        <w:rPr>
          <w:bCs/>
          <w:b/>
        </w:rPr>
        <w:t xml:space="preserve">Sampling Protocol:</w:t>
      </w:r>
      <w:r>
        <w:t xml:space="preserve"> </w:t>
      </w:r>
      <w:r>
        <w:t xml:space="preserve">Stratified random sampling during wet/dry seasons across 12 sites (200 mL water samples, filtered through 0.45µm membranes). Samples collected at riverbanks, sewage outfalls, and groundwater wells using EPA-compliant kits to ensure traceability.</w:t>
      </w:r>
    </w:p>
    <w:p>
      <w:pPr>
        <w:numPr>
          <w:ilvl w:val="0"/>
          <w:numId w:val="1002"/>
        </w:numPr>
        <w:pStyle w:val="Compact"/>
      </w:pPr>
      <w:r>
        <w:rPr>
          <w:bCs/>
          <w:b/>
        </w:rPr>
        <w:t xml:space="preserve">Chemical Analysis:</w:t>
      </w:r>
      <w:r>
        <w:t xml:space="preserve"> </w:t>
      </w:r>
      <w:r>
        <w:t xml:space="preserve">The Chemist will deploy:</w:t>
      </w:r>
    </w:p>
    <w:p>
      <w:pPr>
        <w:numPr>
          <w:ilvl w:val="1"/>
          <w:numId w:val="1003"/>
        </w:numPr>
        <w:pStyle w:val="Compact"/>
      </w:pPr>
      <w:r>
        <w:rPr>
          <w:iCs/>
          <w:i/>
        </w:rPr>
        <w:t xml:space="preserve">Inductively Coupled Plasma Mass Spectrometry (ICP-MS)</w:t>
      </w:r>
      <w:r>
        <w:t xml:space="preserve">: For quantifying heavy metals (Pb, Cd, Hg) at sub-ppb levels.</w:t>
      </w:r>
    </w:p>
    <w:p>
      <w:pPr>
        <w:numPr>
          <w:ilvl w:val="1"/>
          <w:numId w:val="1003"/>
        </w:numPr>
        <w:pStyle w:val="Compact"/>
      </w:pPr>
      <w:r>
        <w:rPr>
          <w:iCs/>
          <w:i/>
        </w:rPr>
        <w:t xml:space="preserve">Gas Chromatography-Mass Spectrometry (GC-MS)</w:t>
      </w:r>
      <w:r>
        <w:t xml:space="preserve">: To identify and measure organic contaminants like phthalates and atrazine.</w:t>
      </w:r>
    </w:p>
    <w:p>
      <w:pPr>
        <w:numPr>
          <w:ilvl w:val="1"/>
          <w:numId w:val="1003"/>
        </w:numPr>
        <w:pStyle w:val="Compact"/>
      </w:pPr>
      <w:r>
        <w:rPr>
          <w:iCs/>
          <w:i/>
        </w:rPr>
        <w:t xml:space="preserve">UV-Vis Spectrophotometry</w:t>
      </w:r>
      <w:r>
        <w:t xml:space="preserve">: For nitrate/nitrite monitoring as a secondary indicator of sewage contamination.</w:t>
      </w:r>
    </w:p>
    <w:p>
      <w:pPr>
        <w:numPr>
          <w:ilvl w:val="0"/>
          <w:numId w:val="1002"/>
        </w:numPr>
        <w:pStyle w:val="Compact"/>
      </w:pPr>
      <w:r>
        <w:rPr>
          <w:bCs/>
          <w:b/>
        </w:rPr>
        <w:t xml:space="preserve">Data Integration:</w:t>
      </w:r>
      <w:r>
        <w:t xml:space="preserve"> </w:t>
      </w:r>
      <w:r>
        <w:t xml:space="preserve">GIS mapping (ArcGIS) will spatially correlate pollutant hotspots with land-use patterns (industrial zones, informal settlements). Statistical analysis (PCA, regression) will identify source apportionment. All protocols comply with Colombian National Standards (NTC-2013) and ISO 17025 for lab accreditation.</w:t>
      </w:r>
    </w:p>
    <w:p>
      <w:pPr>
        <w:numPr>
          <w:ilvl w:val="0"/>
          <w:numId w:val="1002"/>
        </w:numPr>
        <w:pStyle w:val="Compact"/>
      </w:pPr>
      <w:r>
        <w:rPr>
          <w:bCs/>
          <w:b/>
        </w:rPr>
        <w:t xml:space="preserve">Stakeholder Engagement:</w:t>
      </w:r>
      <w:r>
        <w:t xml:space="preserve"> </w:t>
      </w:r>
      <w:r>
        <w:t xml:space="preserve">Findings will be co-developed with Bogotá’s Environmental Management Agency (CMB) and community leaders via workshops to ensure relevance to local governance needs.</w:t>
      </w:r>
    </w:p>
    <w:p>
      <w:pPr>
        <w:pStyle w:val="FirstParagraph"/>
      </w:pPr>
      <w:r>
        <w:t xml:space="preserve">The Chemist’s role is central at every phase—designing the sampling strategy, validating analytical methods, interpreting complex data, and translating results into communicable insights for policymakers. This mirrors Colombia’s 2023 Law 2274 on Environmental Impact Assessment, which mandates scientific rigor in urban planning.</w:t>
      </w:r>
    </w:p>
    <w:bookmarkEnd w:id="23"/>
    <w:bookmarkStart w:id="24" w:name="Xf3e15457fb29d936aa3409146e7abab428d3816"/>
    <w:p>
      <w:pPr>
        <w:pStyle w:val="Heading2"/>
      </w:pPr>
      <w:r>
        <w:t xml:space="preserve">4. Expected Outcomes &amp; Significance for Colombia Bogotá (Approx. 150 words)</w:t>
      </w:r>
    </w:p>
    <w:p>
      <w:pPr>
        <w:pStyle w:val="FirstParagraph"/>
      </w:pPr>
      <w:r>
        <w:t xml:space="preserve">This Thesis Proposal anticipates generating a publicly accessible contamination atlas of Bogotá’s waterways, directly actionable by municipal authorities. Key deliverables include:</w:t>
      </w:r>
    </w:p>
    <w:p>
      <w:pPr>
        <w:numPr>
          <w:ilvl w:val="0"/>
          <w:numId w:val="1004"/>
        </w:numPr>
        <w:pStyle w:val="Compact"/>
      </w:pPr>
      <w:r>
        <w:t xml:space="preserve">A validated analytical protocol for routine monitoring, adoptable by the CMB to replace inconsistent ad-hoc sampling.</w:t>
      </w:r>
    </w:p>
    <w:p>
      <w:pPr>
        <w:numPr>
          <w:ilvl w:val="0"/>
          <w:numId w:val="1004"/>
        </w:numPr>
        <w:pStyle w:val="Compact"/>
      </w:pPr>
      <w:r>
        <w:t xml:space="preserve">Source-specific risk maps identifying priority intervention zones (e.g., industrial zones in Funza requiring wastewater treatment upgrades).</w:t>
      </w:r>
    </w:p>
    <w:p>
      <w:pPr>
        <w:numPr>
          <w:ilvl w:val="0"/>
          <w:numId w:val="1004"/>
        </w:numPr>
        <w:pStyle w:val="Compact"/>
      </w:pPr>
      <w:r>
        <w:t xml:space="preserve">Policy briefs for Bogotá’s Environmental Secretariat outlining cost-effective remediation strategies aligned with Colombia’s National Water Policy.</w:t>
      </w:r>
    </w:p>
    <w:p>
      <w:pPr>
        <w:pStyle w:val="FirstParagraph"/>
      </w:pPr>
      <w:r>
        <w:t xml:space="preserve">The significance extends beyond academia: By establishing a chemically robust baseline, this research will empower the Chemist to catalyze data-driven resource allocation. For Colombia Bogotá, where water scarcity and pollution disproportionately impact low-income communities (e.g., Ciudad Bolívar), these outcomes directly advance social equity. Furthermore, the methodology sets a replicable model for other Colombian cities facing similar urbanization pressures—turning the Chemist’s expertise into a catalyst for nationwide environmental governance transformation.</w:t>
      </w:r>
    </w:p>
    <w:bookmarkEnd w:id="24"/>
    <w:bookmarkStart w:id="25" w:name="Xa7d4a56cdbd9cf5d84cb3bb96da9ac7f9ebadfe"/>
    <w:p>
      <w:pPr>
        <w:pStyle w:val="Heading2"/>
      </w:pPr>
      <w:r>
        <w:t xml:space="preserve">5. Conclusion: The Chemist as Urban Environmental Steward (Approx. 50 words)</w:t>
      </w:r>
    </w:p>
    <w:p>
      <w:pPr>
        <w:pStyle w:val="FirstParagraph"/>
      </w:pPr>
      <w:r>
        <w:t xml:space="preserve">In Colombia Bogotá, where environmental health is inextricably linked to social stability, this Thesis Proposal positions the Chemist as a vital agent of change. Through rigorous analysis and community-responsive science, the research will deliver tangible pathways toward clean water access—a cornerstone of Bogotá’s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Assessment in Colombia Bogotá</dc:title>
  <dc:creator/>
  <dc:language>en</dc:language>
  <cp:keywords/>
  <dcterms:created xsi:type="dcterms:W3CDTF">2025-12-11T07:57:04Z</dcterms:created>
  <dcterms:modified xsi:type="dcterms:W3CDTF">2025-12-11T07:57:04Z</dcterms:modified>
</cp:coreProperties>
</file>

<file path=docProps/custom.xml><?xml version="1.0" encoding="utf-8"?>
<Properties xmlns="http://schemas.openxmlformats.org/officeDocument/2006/custom-properties" xmlns:vt="http://schemas.openxmlformats.org/officeDocument/2006/docPropsVTypes"/>
</file>