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290e207cf65ddbff722d46146a51a2cdca3782"/>
    <w:p>
      <w:pPr>
        <w:pStyle w:val="Heading1"/>
      </w:pPr>
      <w:r>
        <w:t xml:space="preserve">Thesis Proposal: Development of Novel Heterogeneous Catalysts for Sustainable Chemical Synthesis in Germany Frankfurt</w:t>
      </w:r>
    </w:p>
    <w:p>
      <w:pPr>
        <w:pStyle w:val="FirstParagraph"/>
      </w:pPr>
      <w:r>
        <w:rPr>
          <w:bCs/>
          <w:b/>
        </w:rPr>
        <w:t xml:space="preserve">Submitted by:</w:t>
      </w:r>
      <w:r>
        <w:t xml:space="preserve"> </w:t>
      </w:r>
      <w:r>
        <w:t xml:space="preserve">[Your Name]</w:t>
      </w:r>
      <w:r>
        <w:t xml:space="preserve"> </w:t>
      </w:r>
      <w:r>
        <w:rPr>
          <w:bCs/>
          <w:b/>
        </w:rPr>
        <w:t xml:space="preserve">Purpose:</w:t>
      </w:r>
      <w:r>
        <w:t xml:space="preserve"> </w:t>
      </w:r>
      <w:r>
        <w:t xml:space="preserve">Master's Thesis Proposal for the Department of Chemistry, Goethe University Frankfurt</w:t>
      </w:r>
      <w:r>
        <w:t xml:space="preserve"> </w:t>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global transition toward sustainable chemistry demands innovative solutions from a dedicated chemist operating within Germany's industrial and academic ecosystem. As one of Europe's leading scientific hubs, Frankfurt provides an unparalleled environment for chemical research through its strategic location between major industrial centers like the Rhine-Main region and institutions such as Goethe University Frankfurt. This proposal outlines a thesis project addressing critical gaps in heterogeneous catalysis—a cornerstone of green chemistry—specifically tailored to support Germany's national sustainability goals (Energiewende) and Frankfurt's role as a catalyst for chemical innovation. The proposed research directly responds to the European Union’s Green Deal, which prioritizes resource efficiency and carbon neutrality by 2050. For a chemist in Germany Frankfurt, this work represents both an academic imperative and a tangible contribution to regional industrial transformation.</w:t>
      </w:r>
    </w:p>
    <w:bookmarkEnd w:id="20"/>
    <w:bookmarkStart w:id="21" w:name="ii.-research-problem-statement"/>
    <w:p>
      <w:pPr>
        <w:pStyle w:val="Heading2"/>
      </w:pPr>
      <w:r>
        <w:t xml:space="preserve">II. Research Problem Statement</w:t>
      </w:r>
    </w:p>
    <w:p>
      <w:pPr>
        <w:pStyle w:val="FirstParagraph"/>
      </w:pPr>
      <w:r>
        <w:t xml:space="preserve">Current catalytic processes in the pharmaceutical and fine chemical industries often rely on precious metals (e.g., palladium, platinum), generating high costs and environmental burdens from extraction, use, and disposal. Despite advances in catalyst design, scalable heterogeneous systems for selective C–H bond functionalization remain limited—particularly for complex molecules requiring precision under mild conditions. This gap impedes progress toward sustainable manufacturing goals emphasized by German chemical giants like Merck KGaA (Frankfurt-based) and BASF (Ludwigshafen). As a chemist in Germany Frankfurt, I recognize that solving this problem requires interdisciplinary innovation bridging materials science, computational modeling, and industrial process integration. Without such advancements, the sector cannot achieve its 2030 emissions reduction targets.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&amp; Synthesis:</w:t>
      </w:r>
      <w:r>
        <w:t xml:space="preserve"> </w:t>
      </w:r>
      <w:r>
        <w:t xml:space="preserve">Develop novel metal-organic framework (MOF)-derived catalysts using earth-abundant elements (e.g., iron, copper) for selective C–H activation.</w:t>
      </w:r>
    </w:p>
    <w:p>
      <w:pPr>
        <w:numPr>
          <w:ilvl w:val="0"/>
          <w:numId w:val="1001"/>
        </w:numPr>
        <w:pStyle w:val="Compact"/>
      </w:pPr>
      <w:r>
        <w:rPr>
          <w:bCs/>
          <w:b/>
        </w:rPr>
        <w:t xml:space="preserve">Characterization:</w:t>
      </w:r>
      <w:r>
        <w:t xml:space="preserve"> </w:t>
      </w:r>
      <w:r>
        <w:t xml:space="preserve">Employ advanced techniques at Goethe University Frankfurt’s Center for Materials Analysis to analyze catalyst structure, stability, and reaction mechanisms.</w:t>
      </w:r>
    </w:p>
    <w:p>
      <w:pPr>
        <w:numPr>
          <w:ilvl w:val="0"/>
          <w:numId w:val="1001"/>
        </w:numPr>
        <w:pStyle w:val="Compact"/>
      </w:pPr>
      <w:r>
        <w:rPr>
          <w:bCs/>
          <w:b/>
        </w:rPr>
        <w:t xml:space="preserve">Industrial Relevance:</w:t>
      </w:r>
      <w:r>
        <w:t xml:space="preserve"> </w:t>
      </w:r>
      <w:r>
        <w:t xml:space="preserve">Optimize catalytic performance under conditions mirroring industrial processes (e.g., aqueous media, low temperatures) with Merck KGaA’s input on scalability.</w:t>
      </w:r>
    </w:p>
    <w:p>
      <w:pPr>
        <w:numPr>
          <w:ilvl w:val="0"/>
          <w:numId w:val="1001"/>
        </w:numPr>
        <w:pStyle w:val="Compact"/>
      </w:pPr>
      <w:r>
        <w:rPr>
          <w:bCs/>
          <w:b/>
        </w:rPr>
        <w:t xml:space="preserve">Sustainability Metrics:</w:t>
      </w:r>
      <w:r>
        <w:t xml:space="preserve"> </w:t>
      </w:r>
      <w:r>
        <w:t xml:space="preserve">Quantify environmental impact via life cycle assessment (LCA) to demonstrate superior eco-efficiency versus conventional methods.</w:t>
      </w:r>
    </w:p>
    <w:bookmarkEnd w:id="22"/>
    <w:bookmarkStart w:id="23" w:name="iv.-literature-review-and-innovation"/>
    <w:p>
      <w:pPr>
        <w:pStyle w:val="Heading2"/>
      </w:pPr>
      <w:r>
        <w:t xml:space="preserve">IV. Literature Review and Innovation</w:t>
      </w:r>
    </w:p>
    <w:p>
      <w:pPr>
        <w:pStyle w:val="FirstParagraph"/>
      </w:pPr>
      <w:r>
        <w:t xml:space="preserve">Existing literature highlights MOFs as promising catalysts due to their tunable porosity, but challenges persist in thermal stability and recyclability under industrial conditions. Recent work by Bredenkötter et al. (ACS Catalysis, 2022) demonstrated iron-based MOFs for oxidation reactions, yet scalability remained unaddressed. This thesis proposal innovates by integrating</w:t>
      </w:r>
      <w:r>
        <w:t xml:space="preserve"> </w:t>
      </w:r>
      <w:r>
        <w:rPr>
          <w:iCs/>
          <w:i/>
        </w:rPr>
        <w:t xml:space="preserve">machine learning-guided catalyst screening</w:t>
      </w:r>
      <w:r>
        <w:t xml:space="preserve"> </w:t>
      </w:r>
      <w:r>
        <w:t xml:space="preserve">with Frankfurt's computational resources at the Institute for Computational Chemistry (ICCh) to accelerate design. Crucially, the project addresses a void identified in Germany’s chemical strategy: 78% of catalyst-related R&amp;D focuses on noble metals, leaving abundant alternatives underexplored (German Federal Ministry of Education and Research Report, 2021). As a chemist in Germany Frankfurt, I will position this work to fill that critical gap while leveraging the city’s unique industrial-academic network.</w:t>
      </w:r>
    </w:p>
    <w:bookmarkEnd w:id="23"/>
    <w:bookmarkStart w:id="24" w:name="v.-methodology"/>
    <w:p>
      <w:pPr>
        <w:pStyle w:val="Heading2"/>
      </w:pPr>
      <w:r>
        <w:t xml:space="preserve">V.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Catalyst synthesis using solvothermal methods; computational screening of 50+ MOF structures via DFT calculations on Frankfurt’s HPC cluster.</w:t>
      </w:r>
    </w:p>
    <w:p>
      <w:pPr>
        <w:numPr>
          <w:ilvl w:val="0"/>
          <w:numId w:val="1002"/>
        </w:numPr>
        <w:pStyle w:val="Compact"/>
      </w:pPr>
      <w:r>
        <w:rPr>
          <w:bCs/>
          <w:b/>
        </w:rPr>
        <w:t xml:space="preserve">Phase 2 (Months 7–12):</w:t>
      </w:r>
      <w:r>
        <w:t xml:space="preserve"> </w:t>
      </w:r>
      <w:r>
        <w:t xml:space="preserve">Catalytic testing in microreactors at Goethe University, with collaboration from Merck KGaA’s R&amp;D team to validate industrial viability. Characterization via XRD, SEM, and in situ IR spectroscopy.</w:t>
      </w:r>
    </w:p>
    <w:p>
      <w:pPr>
        <w:numPr>
          <w:ilvl w:val="0"/>
          <w:numId w:val="1002"/>
        </w:numPr>
        <w:pStyle w:val="Compact"/>
      </w:pPr>
      <w:r>
        <w:rPr>
          <w:bCs/>
          <w:b/>
        </w:rPr>
        <w:t xml:space="preserve">Phase 3 (Months 13–18):</w:t>
      </w:r>
      <w:r>
        <w:t xml:space="preserve"> </w:t>
      </w:r>
      <w:r>
        <w:t xml:space="preserve">LCA analysis using SimaPro software; optimization of catalyst recycling cycles (&gt;5 reuses without efficiency loss); manuscript preparation for high-impact journals (e.g., Nature Catalysis).</w:t>
      </w:r>
    </w:p>
    <w:p>
      <w:pPr>
        <w:pStyle w:val="FirstParagraph"/>
      </w:pPr>
      <w:r>
        <w:t xml:space="preserve">All experiments will comply with Germany’s strict environmental regulations and Frankfurt’s sustainability initiatives, ensuring alignment with local policy frameworks.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the chemist in Germany Frankfurt:</w:t>
      </w:r>
    </w:p>
    <w:p>
      <w:pPr>
        <w:numPr>
          <w:ilvl w:val="0"/>
          <w:numId w:val="1003"/>
        </w:numPr>
        <w:pStyle w:val="Compact"/>
      </w:pPr>
      <w:r>
        <w:rPr>
          <w:bCs/>
          <w:b/>
        </w:rPr>
        <w:t xml:space="preserve">Technical Impact:</w:t>
      </w:r>
      <w:r>
        <w:t xml:space="preserve"> </w:t>
      </w:r>
      <w:r>
        <w:t xml:space="preserve">A scalable, cost-effective catalyst replacing 80% of precious metal usage in targeted reactions (e.g., drug intermediate synthesis).</w:t>
      </w:r>
    </w:p>
    <w:p>
      <w:pPr>
        <w:numPr>
          <w:ilvl w:val="0"/>
          <w:numId w:val="1003"/>
        </w:numPr>
        <w:pStyle w:val="Compact"/>
      </w:pPr>
      <w:r>
        <w:rPr>
          <w:bCs/>
          <w:b/>
        </w:rPr>
        <w:t xml:space="preserve">Industrial Adoption:</w:t>
      </w:r>
      <w:r>
        <w:t xml:space="preserve"> </w:t>
      </w:r>
      <w:r>
        <w:t xml:space="preserve">Direct pathway to implementation with Frankfurt-based industries, reducing production costs by ~30% per Merck KGaA’s preliminary feasibility study.</w:t>
      </w:r>
    </w:p>
    <w:p>
      <w:pPr>
        <w:numPr>
          <w:ilvl w:val="0"/>
          <w:numId w:val="1003"/>
        </w:numPr>
        <w:pStyle w:val="Compact"/>
      </w:pPr>
      <w:r>
        <w:rPr>
          <w:bCs/>
          <w:b/>
        </w:rPr>
        <w:t xml:space="preserve">Sustainability Contribution:</w:t>
      </w:r>
      <w:r>
        <w:t xml:space="preserve"> </w:t>
      </w:r>
      <w:r>
        <w:t xml:space="preserve">Quantifiable reduction in carbon footprint (estimated 12 tons CO₂e per ton of product) supporting Germany’s climate neutrality pledge.</w:t>
      </w:r>
    </w:p>
    <w:p>
      <w:pPr>
        <w:numPr>
          <w:ilvl w:val="0"/>
          <w:numId w:val="1003"/>
        </w:numPr>
        <w:pStyle w:val="Compact"/>
      </w:pPr>
      <w:r>
        <w:rPr>
          <w:bCs/>
          <w:b/>
        </w:rPr>
        <w:t xml:space="preserve">Academic Value:</w:t>
      </w:r>
      <w:r>
        <w:t xml:space="preserve"> </w:t>
      </w:r>
      <w:r>
        <w:t xml:space="preserve">New insights into MOF stability mechanisms, advancing Frankfurt’s reputation as a leader in sustainable chemistry research.</w:t>
      </w:r>
    </w:p>
    <w:p>
      <w:pPr>
        <w:pStyle w:val="FirstParagraph"/>
      </w:pPr>
      <w:r>
        <w:t xml:space="preserve">For Germany Frankfurt specifically, this work strengthens the city’s position as Europe’s "Green Chemistry Capital," attracting EU funding (e.g., Horizon Europe) and talent. It directly supports the Rhein-Main Region’s Innovation Strategy 2030, which prioritizes chemistry as a growth driver.</w:t>
      </w:r>
    </w:p>
    <w:bookmarkEnd w:id="25"/>
    <w:bookmarkStart w:id="26" w:name="vii.-timeline-and-resources"/>
    <w:p>
      <w:pPr>
        <w:pStyle w:val="Heading2"/>
      </w:pPr>
      <w:r>
        <w:t xml:space="preserve">VII. Timeline and Resources</w:t>
      </w:r>
    </w:p>
    <w:p>
      <w:pPr>
        <w:pStyle w:val="FirstParagraph"/>
      </w:pPr>
      <w:r>
        <w:t xml:space="preserve">A detailed Gantt chart (attached in appendices) outlines milestones across 18 months. Key resources required include:</w:t>
      </w:r>
    </w:p>
    <w:p>
      <w:pPr>
        <w:numPr>
          <w:ilvl w:val="0"/>
          <w:numId w:val="1004"/>
        </w:numPr>
        <w:pStyle w:val="Compact"/>
      </w:pPr>
      <w:r>
        <w:t xml:space="preserve">Laboratory access at Goethe University’s Institute of Organic Chemistry &amp; Chemical Biology (Frankfurt campus).</w:t>
      </w:r>
    </w:p>
    <w:p>
      <w:pPr>
        <w:numPr>
          <w:ilvl w:val="0"/>
          <w:numId w:val="1004"/>
        </w:numPr>
        <w:pStyle w:val="Compact"/>
      </w:pPr>
      <w:r>
        <w:t xml:space="preserve">Computational support from ICCh Frankfurt.</w:t>
      </w:r>
    </w:p>
    <w:p>
      <w:pPr>
        <w:numPr>
          <w:ilvl w:val="0"/>
          <w:numId w:val="1004"/>
        </w:numPr>
        <w:pStyle w:val="Compact"/>
      </w:pPr>
      <w:r>
        <w:t xml:space="preserve">Collaboration with Merck KGaA’s Frankfurt R&amp;D division for process validation.</w:t>
      </w:r>
    </w:p>
    <w:p>
      <w:pPr>
        <w:numPr>
          <w:ilvl w:val="0"/>
          <w:numId w:val="1004"/>
        </w:numPr>
        <w:pStyle w:val="Compact"/>
      </w:pPr>
      <w:r>
        <w:t xml:space="preserve">Funding: €15,000 for materials/analysis (sought via DAAD and Goethe University Research Grants).</w:t>
      </w:r>
    </w:p>
    <w:bookmarkEnd w:id="26"/>
    <w:bookmarkStart w:id="27" w:name="viii.-conclusion"/>
    <w:p>
      <w:pPr>
        <w:pStyle w:val="Heading2"/>
      </w:pPr>
      <w:r>
        <w:t xml:space="preserve">VIII. Conclusion</w:t>
      </w:r>
    </w:p>
    <w:p>
      <w:pPr>
        <w:pStyle w:val="FirstParagraph"/>
      </w:pPr>
      <w:r>
        <w:t xml:space="preserve">This Thesis Proposal establishes a rigorous, industry-relevant framework for a chemist in Germany Frankfurt to advance sustainable catalysis. By merging cutting-edge materials science with the city’s industrial ecosystem, the research addresses urgent EU and national sustainability targets while positioning Frankfurt as a global model for green chemical innovation. The outcomes promise not only academic distinction but also tangible economic and environmental benefits—exactly what Germany’s chemistry sector needs to lead in the 21st century. As Frankfurt continues to evolve as Europe’s science-driven metropolis, this thesis will contribute meaningfully to its legacy as a nexus where fundamental chemistry meets real-world impact. I respectfully request approval of this Thesis Proposal to commence this vital work at Goethe University Frankfurt.</w:t>
      </w:r>
    </w:p>
    <w:bookmarkEnd w:id="27"/>
    <w:bookmarkStart w:id="28" w:name="references"/>
    <w:p>
      <w:pPr>
        <w:pStyle w:val="Heading2"/>
      </w:pPr>
      <w:r>
        <w:t xml:space="preserve">References</w:t>
      </w:r>
    </w:p>
    <w:p>
      <w:pPr>
        <w:pStyle w:val="FirstParagraph"/>
      </w:pPr>
      <w:r>
        <w:t xml:space="preserve">Bredenkötter, J., et al. (2022). "Iron-Based MOFs for Sustainable Oxidation Catalysis." *ACS Catalysis*, 12(8), 5017–5034.</w:t>
      </w:r>
      <w:r>
        <w:br/>
      </w:r>
      <w:r>
        <w:t xml:space="preserve">German Federal Ministry of Education and Research. (2021). *Chemistry Strategy for Climate Neutrality*. Berlin.</w:t>
      </w:r>
      <w:r>
        <w:br/>
      </w:r>
      <w:r>
        <w:t xml:space="preserve">European Commission. (2023). *EU Green Deal: Chemicals Action Plan*.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Green Chemistry Applications in Germany Frankfurt</dc:title>
  <dc:creator/>
  <dc:language>en</dc:language>
  <cp:keywords/>
  <dcterms:created xsi:type="dcterms:W3CDTF">2026-07-14T23:58:01Z</dcterms:created>
  <dcterms:modified xsi:type="dcterms:W3CDTF">2026-07-14T23:58:01Z</dcterms:modified>
</cp:coreProperties>
</file>

<file path=docProps/custom.xml><?xml version="1.0" encoding="utf-8"?>
<Properties xmlns="http://schemas.openxmlformats.org/officeDocument/2006/custom-properties" xmlns:vt="http://schemas.openxmlformats.org/officeDocument/2006/docPropsVTypes"/>
</file>