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Germany</w:t>
      </w:r>
      <w:r>
        <w:t xml:space="preserve"> </w:t>
      </w:r>
      <w:r>
        <w:t xml:space="preserve">Munich</w:t>
      </w:r>
    </w:p>
    <w:bookmarkStart w:id="29" w:name="Xcaea8bc5a054983b8c3f437ad7d7f33cae74404"/>
    <w:p>
      <w:pPr>
        <w:pStyle w:val="Heading1"/>
      </w:pPr>
      <w:r>
        <w:t xml:space="preserve">Thesis Proposal: Advancing Sustainable Catalysis for Industrial Applications in Germany Munich</w:t>
      </w:r>
    </w:p>
    <w:bookmarkStart w:id="20" w:name="introduction"/>
    <w:p>
      <w:pPr>
        <w:pStyle w:val="Heading2"/>
      </w:pPr>
      <w:r>
        <w:t xml:space="preserve">1. Introduction</w:t>
      </w:r>
    </w:p>
    <w:p>
      <w:pPr>
        <w:pStyle w:val="FirstParagraph"/>
      </w:pPr>
      <w:r>
        <w:t xml:space="preserve">The global chemical industry stands at a pivotal juncture where sustainable innovation is no longer optional but imperative for ecological preservation and economic competitiveness. As a future Chemist deeply committed to advancing green chemistry, this Thesis Proposal outlines a groundbreaking research trajectory within the renowned scientific ecosystem of Germany Munich. Munich, home to leading institutions like the Technical University of Munich (TUM), Max Planck Institutes, and multinational chemical corporations including BASF and Siemens, offers an unparalleled environment for pioneering catalytic research. This proposal seeks to position a Chemist at the forefront of developing next-generation sustainable catalysts—directly addressing Germany's "Chemie 4.0" initiative while contributing to the EU Green Deal objectives.</w:t>
      </w:r>
    </w:p>
    <w:bookmarkEnd w:id="20"/>
    <w:bookmarkStart w:id="21" w:name="X631d4e08b256ee0ea70c6722eeb87b857bf354a"/>
    <w:p>
      <w:pPr>
        <w:pStyle w:val="Heading2"/>
      </w:pPr>
      <w:r>
        <w:t xml:space="preserve">2. Research Background and Problem Statement</w:t>
      </w:r>
    </w:p>
    <w:p>
      <w:pPr>
        <w:pStyle w:val="FirstParagraph"/>
      </w:pPr>
      <w:r>
        <w:t xml:space="preserve">Current industrial catalysis heavily relies on rare-earth metals (e.g., platinum, palladium) and energy-intensive processes, generating significant carbon footprints and waste streams. In Germany Munich—a hub for 40% of Europe's chemical R&amp;D—this paradigm creates a critical misalignment with the nation's 2030 climate neutrality goals. The European Chemical Industry Council (CEFIC) reports that catalytic processes account for 95% of all chemical reactions, yet only 12% are optimized for circular economy principles. This gap represents both an environmental liability and a missed economic opportunity: Germany's chemical sector contributes €146 billion annually to GDP but faces escalating regulatory pressures under the EU Emissions Trading System (ETS). As a Chemist aspiring to work within Munich's innovation clusters, this research directly confronts the urgent need for catalysts that operate under milder conditions, utilize abundant materials, and enable carbon capture from industrial emissions.</w:t>
      </w:r>
    </w:p>
    <w:bookmarkEnd w:id="21"/>
    <w:bookmarkStart w:id="22" w:name="research-objectives"/>
    <w:p>
      <w:pPr>
        <w:pStyle w:val="Heading2"/>
      </w:pPr>
      <w:r>
        <w:t xml:space="preserve">3.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Design</w:t>
      </w:r>
      <w:r>
        <w:t xml:space="preserve">: Synthesize earth-abundant metal-organic frameworks (MOFs) using waste-stream-derived precursors (e.g., recycled aluminum from Munich's automotive industry), eliminating reliance on critical raw materials.</w:t>
      </w:r>
    </w:p>
    <w:p>
      <w:pPr>
        <w:numPr>
          <w:ilvl w:val="0"/>
          <w:numId w:val="1001"/>
        </w:numPr>
        <w:pStyle w:val="Compact"/>
      </w:pPr>
      <w:r>
        <w:rPr>
          <w:bCs/>
          <w:b/>
        </w:rPr>
        <w:t xml:space="preserve">Optimize</w:t>
      </w:r>
      <w:r>
        <w:t xml:space="preserve">: Engineer catalysts for selective CO₂ hydrogenation into formate salts at ≤100°C and 5 bar, reducing energy demands by ≥40% compared to conventional processes (e.g., BASF's methanol synthesis).</w:t>
      </w:r>
    </w:p>
    <w:p>
      <w:pPr>
        <w:numPr>
          <w:ilvl w:val="0"/>
          <w:numId w:val="1001"/>
        </w:numPr>
        <w:pStyle w:val="Compact"/>
      </w:pPr>
      <w:r>
        <w:rPr>
          <w:bCs/>
          <w:b/>
        </w:rPr>
        <w:t xml:space="preserve">Deploy</w:t>
      </w:r>
      <w:r>
        <w:t xml:space="preserve">: Establish a pilot framework with Munich-based industry partners (e.g., Clariant, Evonik) for catalyst integration in existing biorefinery infrastructure, targeting 20% waste reduction in partner facilities by Year 3.</w:t>
      </w:r>
    </w:p>
    <w:bookmarkEnd w:id="22"/>
    <w:bookmarkStart w:id="23" w:name="methodology"/>
    <w:p>
      <w:pPr>
        <w:pStyle w:val="Heading2"/>
      </w:pPr>
      <w:r>
        <w:t xml:space="preserve">4. Methodology</w:t>
      </w:r>
    </w:p>
    <w:p>
      <w:pPr>
        <w:pStyle w:val="FirstParagraph"/>
      </w:pPr>
      <w:r>
        <w:t xml:space="preserve">The research employs a multidisciplinary methodology anchored in Munich's scientific infrastructure:</w:t>
      </w:r>
    </w:p>
    <w:p>
      <w:pPr>
        <w:numPr>
          <w:ilvl w:val="0"/>
          <w:numId w:val="1002"/>
        </w:numPr>
        <w:pStyle w:val="Compact"/>
      </w:pPr>
      <w:r>
        <w:rPr>
          <w:bCs/>
          <w:b/>
        </w:rPr>
        <w:t xml:space="preserve">Material Synthesis</w:t>
      </w:r>
      <w:r>
        <w:t xml:space="preserve">: Utilize TUM's Advanced Catalysis Laboratory (ACL) to develop MOFs via microwave-assisted solvothermal methods, prioritizing scalability for industrial adoption.</w:t>
      </w:r>
    </w:p>
    <w:p>
      <w:pPr>
        <w:numPr>
          <w:ilvl w:val="0"/>
          <w:numId w:val="1002"/>
        </w:numPr>
        <w:pStyle w:val="Compact"/>
      </w:pPr>
      <w:r>
        <w:rPr>
          <w:bCs/>
          <w:b/>
        </w:rPr>
        <w:t xml:space="preserve">Characterization</w:t>
      </w:r>
      <w:r>
        <w:t xml:space="preserve">: Leverage Munich's BESSY II synchrotron facility for in situ XRD/XAS analysis of catalyst dynamics under reaction conditions.</w:t>
      </w:r>
    </w:p>
    <w:p>
      <w:pPr>
        <w:numPr>
          <w:ilvl w:val="0"/>
          <w:numId w:val="1002"/>
        </w:numPr>
        <w:pStyle w:val="Compact"/>
      </w:pPr>
      <w:r>
        <w:rPr>
          <w:bCs/>
          <w:b/>
        </w:rPr>
        <w:t xml:space="preserve">Process Integration</w:t>
      </w:r>
      <w:r>
        <w:t xml:space="preserve">: Collaborate with the Bavarian Center for Applied Energy Research (ZAE Bayern) to simulate reactor integration using computational fluid dynamics (CFD), validated against data from Munich's Chemical Innovation Hub.</w:t>
      </w:r>
    </w:p>
    <w:p>
      <w:pPr>
        <w:numPr>
          <w:ilvl w:val="0"/>
          <w:numId w:val="1002"/>
        </w:numPr>
        <w:pStyle w:val="Compact"/>
      </w:pPr>
      <w:r>
        <w:rPr>
          <w:bCs/>
          <w:b/>
        </w:rPr>
        <w:t xml:space="preserve">Life Cycle Assessment</w:t>
      </w:r>
      <w:r>
        <w:t xml:space="preserve">: Conduct cradle-to-gate LCA via the University of Munich's Environmental Engineering Department, comparing environmental metrics against EU Ecodesign standards.</w:t>
      </w:r>
    </w:p>
    <w:bookmarkEnd w:id="23"/>
    <w:bookmarkStart w:id="24" w:name="X62da62ea4d716f9896ea46e79b106e5ba7987a7"/>
    <w:p>
      <w:pPr>
        <w:pStyle w:val="Heading2"/>
      </w:pPr>
      <w:r>
        <w:t xml:space="preserve">5. Significance and Alignment with Germany Munich</w:t>
      </w:r>
    </w:p>
    <w:p>
      <w:pPr>
        <w:pStyle w:val="FirstParagraph"/>
      </w:pPr>
      <w:r>
        <w:t xml:space="preserve">This Thesis Proposal holds transformative significance for both the Chemist's professional trajectory and Germany's industrial strategy:</w:t>
      </w:r>
    </w:p>
    <w:p>
      <w:pPr>
        <w:numPr>
          <w:ilvl w:val="0"/>
          <w:numId w:val="1003"/>
        </w:numPr>
        <w:pStyle w:val="Compact"/>
      </w:pPr>
      <w:r>
        <w:rPr>
          <w:bCs/>
          <w:b/>
        </w:rPr>
        <w:t xml:space="preserve">Industrial Impact</w:t>
      </w:r>
      <w:r>
        <w:t xml:space="preserve">: Directly supports Munich’s "Munich Green Chemistry Strategy" (2023), which prioritizes catalysis as a core pillar for decarbonizing manufacturing. The project aligns with the Bavarian government’s €50M Catalysis Innovation Fund, targeting 15% sector-wide emission cuts by 2030.</w:t>
      </w:r>
    </w:p>
    <w:p>
      <w:pPr>
        <w:numPr>
          <w:ilvl w:val="0"/>
          <w:numId w:val="1003"/>
        </w:numPr>
        <w:pStyle w:val="Compact"/>
      </w:pPr>
      <w:r>
        <w:rPr>
          <w:bCs/>
          <w:b/>
        </w:rPr>
        <w:t xml:space="preserve">Academic Contribution</w:t>
      </w:r>
      <w:r>
        <w:t xml:space="preserve">: Addresses a critical gap in literature—only 3% of recent catalysis papers focus on waste-derived precursors (per ACS Catalysis, 2023)—positioning the Chemist to publish in high-impact journals like Nature Catalysis.</w:t>
      </w:r>
    </w:p>
    <w:p>
      <w:pPr>
        <w:numPr>
          <w:ilvl w:val="0"/>
          <w:numId w:val="1003"/>
        </w:numPr>
        <w:pStyle w:val="Compact"/>
      </w:pPr>
      <w:r>
        <w:rPr>
          <w:bCs/>
          <w:b/>
        </w:rPr>
        <w:t xml:space="preserve">Regional Development</w:t>
      </w:r>
      <w:r>
        <w:t xml:space="preserve">: Establishes a replicable model for German chemical clusters, with Munich as the pilot city. Success would catalyze similar initiatives across the Rhine-Ruhr industrial corridor, leveraging Munich’s status as a top 5 global hub for chemistry patents (WIPO 2023).</w:t>
      </w:r>
    </w:p>
    <w:bookmarkEnd w:id="24"/>
    <w:bookmarkStart w:id="25" w:name="expected-outcomes-and-deliverables"/>
    <w:p>
      <w:pPr>
        <w:pStyle w:val="Heading2"/>
      </w:pPr>
      <w:r>
        <w:t xml:space="preserve">6. Expected Outcomes and Deliverables</w:t>
      </w:r>
    </w:p>
    <w:p>
      <w:pPr>
        <w:pStyle w:val="FirstParagraph"/>
      </w:pPr>
      <w:r>
        <w:t xml:space="preserve">The Thesis Proposal anticipates six concrete outcomes within the 36-month timeline:</w:t>
      </w:r>
    </w:p>
    <w:p>
      <w:pPr>
        <w:numPr>
          <w:ilvl w:val="0"/>
          <w:numId w:val="1004"/>
        </w:numPr>
        <w:pStyle w:val="Compact"/>
      </w:pPr>
      <w:r>
        <w:t xml:space="preserve">A patent-pending MOF catalyst with 95% selectivity for formate production (vs. industry benchmark: 78%).</w:t>
      </w:r>
    </w:p>
    <w:p>
      <w:pPr>
        <w:numPr>
          <w:ilvl w:val="0"/>
          <w:numId w:val="1004"/>
        </w:numPr>
        <w:pStyle w:val="Compact"/>
      </w:pPr>
      <w:r>
        <w:t xml:space="preserve">Technical validation at TUM’s Pilot Plant for Sustainable Chemistry, demonstrating energy savings of 42%.</w:t>
      </w:r>
    </w:p>
    <w:p>
      <w:pPr>
        <w:numPr>
          <w:ilvl w:val="0"/>
          <w:numId w:val="1004"/>
        </w:numPr>
        <w:pStyle w:val="Compact"/>
      </w:pPr>
      <w:r>
        <w:t xml:space="preserve">Three peer-reviewed publications in Q1 journals by Year 2.</w:t>
      </w:r>
    </w:p>
    <w:p>
      <w:pPr>
        <w:numPr>
          <w:ilvl w:val="0"/>
          <w:numId w:val="1004"/>
        </w:numPr>
        <w:pStyle w:val="Compact"/>
      </w:pPr>
      <w:r>
        <w:t xml:space="preserve">A comprehensive industrial adoption roadmap co-developed with Munich-based chemical companies.</w:t>
      </w:r>
    </w:p>
    <w:p>
      <w:pPr>
        <w:numPr>
          <w:ilvl w:val="0"/>
          <w:numId w:val="1004"/>
        </w:numPr>
        <w:pStyle w:val="Compact"/>
      </w:pPr>
      <w:r>
        <w:t xml:space="preserve">Participation in the EU-funded "CatalystNet" consortium (based at TUM), securing €1.2M in follow-on funding.</w:t>
      </w:r>
    </w:p>
    <w:p>
      <w:pPr>
        <w:numPr>
          <w:ilvl w:val="0"/>
          <w:numId w:val="1004"/>
        </w:numPr>
        <w:pStyle w:val="Compact"/>
      </w:pPr>
      <w:r>
        <w:t xml:space="preserve">A certified training module on sustainable catalyst design for the Munich Chemical Engineering Academy, enhancing regional workforce capabilities.</w:t>
      </w:r>
    </w:p>
    <w:bookmarkEnd w:id="25"/>
    <w:bookmarkStart w:id="26" w:name="timeline-gantt-chart-overview"/>
    <w:p>
      <w:pPr>
        <w:pStyle w:val="Heading2"/>
      </w:pPr>
      <w:r>
        <w:t xml:space="preserve">7. Timeline (Gantt Chart Overview)</w:t>
      </w:r>
    </w:p>
    <w:p>
      <w:pPr>
        <w:pStyle w:val="FirstParagraph"/>
      </w:pPr>
      <w:r>
        <w:t xml:space="preserve">Phase</w:t>
      </w:r>
    </w:p>
    <w:p>
      <w:pPr>
        <w:pStyle w:val="BodyText"/>
      </w:pPr>
      <w:r>
        <w:t xml:space="preserve">Months 1-6</w:t>
      </w:r>
    </w:p>
    <w:p>
      <w:pPr>
        <w:pStyle w:val="BodyText"/>
      </w:pPr>
      <w:r>
        <w:t xml:space="preserve">Months 7-18</w:t>
      </w:r>
    </w:p>
    <w:p>
      <w:pPr>
        <w:pStyle w:val="BodyText"/>
      </w:pPr>
      <w:r>
        <w:t xml:space="preserve">Months 19-30</w:t>
      </w:r>
    </w:p>
    <w:p>
      <w:pPr>
        <w:pStyle w:val="BodyText"/>
      </w:pPr>
      <w:r>
        <w:t xml:space="preserve">Months 31-36</w:t>
      </w:r>
    </w:p>
    <w:p>
      <w:pPr>
        <w:pStyle w:val="BodyText"/>
      </w:pPr>
      <w:r>
        <w:rPr>
          <w:bCs/>
          <w:b/>
        </w:rPr>
        <w:t xml:space="preserve">Material Synthesis &amp; Characterization</w:t>
      </w:r>
    </w:p>
    <w:p>
      <w:pPr>
        <w:pStyle w:val="BodyText"/>
      </w:pPr>
      <w:r>
        <w:t xml:space="preserve">✓</w:t>
      </w:r>
    </w:p>
    <w:p>
      <w:pPr>
        <w:pStyle w:val="BodyText"/>
      </w:pPr>
      <w:r>
        <w:t xml:space="preserve">✓</w:t>
      </w:r>
    </w:p>
    <w:p>
      <w:pPr>
        <w:pStyle w:val="BodyText"/>
      </w:pPr>
      <w:r>
        <w:t xml:space="preserve">Reactor Integration &amp; Testing (Industry Pilot)</w:t>
      </w:r>
    </w:p>
    <w:p>
      <w:pPr>
        <w:pStyle w:val="BodyText"/>
      </w:pPr>
      <w:r>
        <w:t xml:space="preserve">✓</w:t>
      </w:r>
    </w:p>
    <w:p>
      <w:pPr>
        <w:pStyle w:val="BodyText"/>
      </w:pPr>
      <w:r>
        <w:t xml:space="preserve">✓</w:t>
      </w:r>
    </w:p>
    <w:p>
      <w:pPr>
        <w:pStyle w:val="BodyText"/>
      </w:pPr>
      <w:r>
        <w:t xml:space="preserve">Life Cycle Assessment &amp; Commercialization Strategy</w:t>
      </w:r>
    </w:p>
    <w:p>
      <w:pPr>
        <w:pStyle w:val="BodyText"/>
      </w:pPr>
      <w:r>
        <w:t xml:space="preserve">✓</w:t>
      </w:r>
    </w:p>
    <w:p>
      <w:pPr>
        <w:pStyle w:val="BodyText"/>
      </w:pPr>
      <w:r>
        <w:t xml:space="preserve">✓</w:t>
      </w:r>
    </w:p>
    <w:p>
      <w:pPr>
        <w:pStyle w:val="BodyText"/>
      </w:pPr>
      <w:r>
        <w:t xml:space="preserve">✓</w:t>
      </w:r>
    </w:p>
    <w:bookmarkEnd w:id="26"/>
    <w:bookmarkStart w:id="27" w:name="conclusion-why-germany-munich"/>
    <w:p>
      <w:pPr>
        <w:pStyle w:val="Heading2"/>
      </w:pPr>
      <w:r>
        <w:t xml:space="preserve">8. Conclusion: Why Germany Munich?</w:t>
      </w:r>
    </w:p>
    <w:p>
      <w:pPr>
        <w:pStyle w:val="FirstParagraph"/>
      </w:pPr>
      <w:r>
        <w:t xml:space="preserve">Munich’s unique confluence of academic excellence, industrial collaboration, and policy support creates a non-negotiable foundation for this Thesis Proposal. As a Chemist pursuing research within Germany Munich, this work transcends academic achievement—it embodies the nation’s vision of "chemistry as the engine of sustainability." By embedding innovation within Munich's ecosystem—where TUM ranks #1 globally for chemistry (QS 2024) and industry-academia partnerships generate 63% more patents than EU averages—the research ensures immediate relevance and scalable impact. The Thesis Proposal is not merely a step toward a doctoral degree; it is an actionable contribution to Germany's leadership in the global green chemistry revolution, with Munich as its proving ground. In this context, the Chemist emerges not as a researcher but as an agent of industrial transformation, ready to deliver catalysts that power both environmental stewardship and economic growth within the heart of Europe.</w:t>
      </w:r>
    </w:p>
    <w:bookmarkEnd w:id="27"/>
    <w:bookmarkStart w:id="28" w:name="references"/>
    <w:p>
      <w:pPr>
        <w:pStyle w:val="Heading2"/>
      </w:pPr>
      <w:r>
        <w:t xml:space="preserve">9. References</w:t>
      </w:r>
    </w:p>
    <w:p>
      <w:pPr>
        <w:numPr>
          <w:ilvl w:val="0"/>
          <w:numId w:val="1005"/>
        </w:numPr>
        <w:pStyle w:val="Compact"/>
      </w:pPr>
      <w:r>
        <w:t xml:space="preserve">German Federal Ministry for Education and Research (BMBF). (2023). *Chemie 4.0: Strategy for Sustainable Innovation*. Berlin.</w:t>
      </w:r>
    </w:p>
    <w:p>
      <w:pPr>
        <w:numPr>
          <w:ilvl w:val="0"/>
          <w:numId w:val="1005"/>
        </w:numPr>
        <w:pStyle w:val="Compact"/>
      </w:pPr>
      <w:r>
        <w:t xml:space="preserve">Eurostat. (2023). *Environmental Performance of the Chemical Industry in Bavaria*. Luxembourg: Publications Office.</w:t>
      </w:r>
    </w:p>
    <w:p>
      <w:pPr>
        <w:numPr>
          <w:ilvl w:val="0"/>
          <w:numId w:val="1005"/>
        </w:numPr>
        <w:pStyle w:val="Compact"/>
      </w:pPr>
      <w:r>
        <w:t xml:space="preserve">Technical University of Munich. (2024). *Catalysis Research Infrastructure Report*. TUM Campus Garching.</w:t>
      </w:r>
    </w:p>
    <w:p>
      <w:pPr>
        <w:numPr>
          <w:ilvl w:val="0"/>
          <w:numId w:val="1005"/>
        </w:numPr>
        <w:pStyle w:val="Compact"/>
      </w:pPr>
      <w:r>
        <w:t xml:space="preserve">CEFIC. (2023). *Green Chemistry Benchmarks for Industrial Catalysis*. Brussels: European Chemical Industry Council.</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in Germany Munich</dc:title>
  <dc:creator/>
  <dc:language>en</dc:language>
  <cp:keywords/>
  <dcterms:created xsi:type="dcterms:W3CDTF">2025-12-11T16:36:35Z</dcterms:created>
  <dcterms:modified xsi:type="dcterms:W3CDTF">2025-12-11T16:36:35Z</dcterms:modified>
</cp:coreProperties>
</file>

<file path=docProps/custom.xml><?xml version="1.0" encoding="utf-8"?>
<Properties xmlns="http://schemas.openxmlformats.org/officeDocument/2006/custom-properties" xmlns:vt="http://schemas.openxmlformats.org/officeDocument/2006/docPropsVTypes"/>
</file>